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6D4" w:rsidRDefault="00B776BE" w:rsidP="00CD15CE">
      <w:pPr>
        <w:rPr>
          <w:sz w:val="24"/>
          <w:szCs w:val="24"/>
        </w:rPr>
      </w:pPr>
      <w:r>
        <w:rPr>
          <w:noProof/>
          <w:lang w:val="en-NZ" w:eastAsia="en-NZ"/>
        </w:rPr>
        <w:drawing>
          <wp:inline distT="0" distB="0" distL="0" distR="0" wp14:anchorId="4F4C47BB" wp14:editId="3C68A72D">
            <wp:extent cx="2333625" cy="638175"/>
            <wp:effectExtent l="0" t="0" r="9525" b="9525"/>
            <wp:docPr id="1" name="Picture 1" descr="FSF-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logo-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638175"/>
                    </a:xfrm>
                    <a:prstGeom prst="rect">
                      <a:avLst/>
                    </a:prstGeom>
                    <a:noFill/>
                    <a:ln>
                      <a:noFill/>
                    </a:ln>
                  </pic:spPr>
                </pic:pic>
              </a:graphicData>
            </a:graphic>
          </wp:inline>
        </w:drawing>
      </w:r>
    </w:p>
    <w:p w:rsidR="00B776BE" w:rsidRDefault="00B776BE" w:rsidP="00B776BE">
      <w:pPr>
        <w:spacing w:after="0" w:line="240" w:lineRule="auto"/>
        <w:jc w:val="center"/>
        <w:rPr>
          <w:sz w:val="24"/>
          <w:szCs w:val="24"/>
        </w:rPr>
      </w:pPr>
    </w:p>
    <w:p w:rsidR="00B776BE" w:rsidRDefault="00B776BE" w:rsidP="00B776BE">
      <w:pPr>
        <w:spacing w:after="0" w:line="240" w:lineRule="auto"/>
        <w:jc w:val="center"/>
        <w:rPr>
          <w:sz w:val="24"/>
          <w:szCs w:val="24"/>
        </w:rPr>
      </w:pPr>
    </w:p>
    <w:p w:rsidR="00B776BE" w:rsidRDefault="00B776BE" w:rsidP="00B776BE">
      <w:pPr>
        <w:spacing w:after="0" w:line="240" w:lineRule="auto"/>
        <w:rPr>
          <w:sz w:val="24"/>
          <w:szCs w:val="24"/>
        </w:rPr>
      </w:pPr>
      <w:r>
        <w:rPr>
          <w:sz w:val="24"/>
          <w:szCs w:val="24"/>
        </w:rPr>
        <w:t>31 October 2017</w:t>
      </w:r>
    </w:p>
    <w:p w:rsidR="00B776BE" w:rsidRDefault="00B776BE" w:rsidP="00B776BE">
      <w:pPr>
        <w:spacing w:after="0" w:line="240" w:lineRule="auto"/>
        <w:rPr>
          <w:sz w:val="24"/>
          <w:szCs w:val="24"/>
        </w:rPr>
      </w:pPr>
    </w:p>
    <w:p w:rsidR="00B776BE" w:rsidRDefault="00B776BE" w:rsidP="00B776BE">
      <w:pPr>
        <w:spacing w:after="0" w:line="240" w:lineRule="auto"/>
        <w:rPr>
          <w:sz w:val="24"/>
          <w:szCs w:val="24"/>
        </w:rPr>
      </w:pPr>
    </w:p>
    <w:p w:rsidR="00B776BE" w:rsidRDefault="00B776BE" w:rsidP="00B776BE">
      <w:pPr>
        <w:spacing w:after="0" w:line="240" w:lineRule="auto"/>
        <w:rPr>
          <w:sz w:val="24"/>
          <w:szCs w:val="24"/>
        </w:rPr>
      </w:pPr>
      <w:r>
        <w:rPr>
          <w:sz w:val="24"/>
          <w:szCs w:val="24"/>
        </w:rPr>
        <w:t>AML/CFT Consultation Team</w:t>
      </w:r>
    </w:p>
    <w:p w:rsidR="00B776BE" w:rsidRDefault="00B776BE" w:rsidP="00B776BE">
      <w:pPr>
        <w:spacing w:after="0" w:line="240" w:lineRule="auto"/>
        <w:rPr>
          <w:sz w:val="24"/>
          <w:szCs w:val="24"/>
        </w:rPr>
      </w:pPr>
      <w:r>
        <w:rPr>
          <w:sz w:val="24"/>
          <w:szCs w:val="24"/>
        </w:rPr>
        <w:t>Ministry of Justice</w:t>
      </w:r>
    </w:p>
    <w:p w:rsidR="00B776BE" w:rsidRDefault="00B776BE" w:rsidP="00B776BE">
      <w:pPr>
        <w:spacing w:after="0" w:line="240" w:lineRule="auto"/>
        <w:rPr>
          <w:sz w:val="24"/>
          <w:szCs w:val="24"/>
        </w:rPr>
      </w:pPr>
      <w:r>
        <w:rPr>
          <w:sz w:val="24"/>
          <w:szCs w:val="24"/>
        </w:rPr>
        <w:t>Wellington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email:  </w:t>
      </w:r>
      <w:hyperlink r:id="rId6" w:history="1">
        <w:r w:rsidRPr="00E2249C">
          <w:rPr>
            <w:rStyle w:val="Hyperlink"/>
            <w:sz w:val="24"/>
            <w:szCs w:val="24"/>
          </w:rPr>
          <w:t>aml@justice.govt.nz</w:t>
        </w:r>
      </w:hyperlink>
      <w:r>
        <w:rPr>
          <w:sz w:val="24"/>
          <w:szCs w:val="24"/>
        </w:rPr>
        <w:t xml:space="preserve"> </w:t>
      </w:r>
    </w:p>
    <w:p w:rsidR="00B776BE" w:rsidRDefault="00B776BE" w:rsidP="00B776BE">
      <w:pPr>
        <w:spacing w:after="0" w:line="240" w:lineRule="auto"/>
        <w:rPr>
          <w:sz w:val="24"/>
          <w:szCs w:val="24"/>
        </w:rPr>
      </w:pPr>
    </w:p>
    <w:p w:rsidR="00B776BE" w:rsidRDefault="00B776BE" w:rsidP="00B776BE">
      <w:pPr>
        <w:spacing w:after="0" w:line="240" w:lineRule="auto"/>
        <w:rPr>
          <w:sz w:val="24"/>
          <w:szCs w:val="24"/>
        </w:rPr>
      </w:pPr>
    </w:p>
    <w:p w:rsidR="00B776BE" w:rsidRDefault="00B776BE" w:rsidP="00B776BE">
      <w:pPr>
        <w:spacing w:after="0" w:line="240" w:lineRule="auto"/>
        <w:rPr>
          <w:b/>
          <w:sz w:val="24"/>
          <w:szCs w:val="24"/>
        </w:rPr>
      </w:pPr>
      <w:r>
        <w:rPr>
          <w:b/>
          <w:sz w:val="24"/>
          <w:szCs w:val="24"/>
        </w:rPr>
        <w:t>Implementation of the Anti-Money Laundering and Countering Financing of Terrorism Act 2009:  Consultation Paper on Draft Regulations (Tranche 1)</w:t>
      </w:r>
    </w:p>
    <w:p w:rsidR="00B776BE" w:rsidRDefault="00B776BE" w:rsidP="00B776BE">
      <w:pPr>
        <w:spacing w:after="0" w:line="240" w:lineRule="auto"/>
        <w:rPr>
          <w:b/>
          <w:sz w:val="24"/>
          <w:szCs w:val="24"/>
        </w:rPr>
      </w:pPr>
    </w:p>
    <w:p w:rsidR="00B776BE" w:rsidRDefault="00B776BE" w:rsidP="00B776BE">
      <w:pPr>
        <w:spacing w:after="0" w:line="240" w:lineRule="auto"/>
        <w:rPr>
          <w:rFonts w:cs="Calibri"/>
          <w:sz w:val="24"/>
          <w:szCs w:val="24"/>
        </w:rPr>
      </w:pPr>
      <w:r>
        <w:rPr>
          <w:sz w:val="24"/>
          <w:szCs w:val="24"/>
        </w:rPr>
        <w:t xml:space="preserve">The FSF is grateful for the opportunity to comment on the above consultation paper.  By way of background, </w:t>
      </w:r>
      <w:r w:rsidRPr="005233DD">
        <w:rPr>
          <w:rFonts w:cs="Calibri"/>
          <w:sz w:val="24"/>
          <w:szCs w:val="24"/>
        </w:rPr>
        <w:t xml:space="preserve">the </w:t>
      </w:r>
      <w:r>
        <w:rPr>
          <w:rFonts w:cs="Calibri"/>
          <w:sz w:val="24"/>
          <w:szCs w:val="24"/>
        </w:rPr>
        <w:t>Financial Services Federation (“</w:t>
      </w:r>
      <w:r w:rsidRPr="005233DD">
        <w:rPr>
          <w:rFonts w:cs="Calibri"/>
          <w:sz w:val="24"/>
          <w:szCs w:val="24"/>
        </w:rPr>
        <w:t>FSF</w:t>
      </w:r>
      <w:r>
        <w:rPr>
          <w:rFonts w:cs="Calibri"/>
          <w:sz w:val="24"/>
          <w:szCs w:val="24"/>
        </w:rPr>
        <w:t xml:space="preserve">”) </w:t>
      </w:r>
      <w:r w:rsidRPr="005233DD">
        <w:rPr>
          <w:rFonts w:cs="Calibri"/>
          <w:sz w:val="24"/>
          <w:szCs w:val="24"/>
        </w:rPr>
        <w:t xml:space="preserve">is the industry body for the responsible and ethical finance and leasing providers of New Zealand. We have </w:t>
      </w:r>
      <w:r>
        <w:rPr>
          <w:rFonts w:cs="Calibri"/>
          <w:sz w:val="24"/>
          <w:szCs w:val="24"/>
        </w:rPr>
        <w:t xml:space="preserve">nearly sixty </w:t>
      </w:r>
      <w:r w:rsidRPr="005233DD">
        <w:rPr>
          <w:rFonts w:cs="Calibri"/>
          <w:sz w:val="24"/>
          <w:szCs w:val="24"/>
        </w:rPr>
        <w:t xml:space="preserve">members and associates providing financing, leasing, and </w:t>
      </w:r>
      <w:r w:rsidRPr="00F41E7D">
        <w:rPr>
          <w:sz w:val="24"/>
          <w:szCs w:val="24"/>
        </w:rPr>
        <w:t xml:space="preserve">credit-related </w:t>
      </w:r>
      <w:r w:rsidRPr="005233DD">
        <w:rPr>
          <w:rFonts w:cs="Calibri"/>
          <w:sz w:val="24"/>
          <w:szCs w:val="24"/>
        </w:rPr>
        <w:t xml:space="preserve">insurance </w:t>
      </w:r>
      <w:r>
        <w:rPr>
          <w:rFonts w:cs="Calibri"/>
          <w:sz w:val="24"/>
          <w:szCs w:val="24"/>
        </w:rPr>
        <w:t>product</w:t>
      </w:r>
      <w:r w:rsidRPr="005233DD">
        <w:rPr>
          <w:rFonts w:cs="Calibri"/>
          <w:sz w:val="24"/>
          <w:szCs w:val="24"/>
        </w:rPr>
        <w:t xml:space="preserve">s to </w:t>
      </w:r>
      <w:r>
        <w:rPr>
          <w:rFonts w:cs="Calibri"/>
          <w:sz w:val="24"/>
          <w:szCs w:val="24"/>
        </w:rPr>
        <w:t>more than 2</w:t>
      </w:r>
      <w:r w:rsidRPr="005233DD">
        <w:rPr>
          <w:rFonts w:cs="Calibri"/>
          <w:sz w:val="24"/>
          <w:szCs w:val="24"/>
        </w:rPr>
        <w:t xml:space="preserve"> million New Zealanders.  Our affiliate members include internationally </w:t>
      </w:r>
      <w:proofErr w:type="spellStart"/>
      <w:r w:rsidRPr="005233DD">
        <w:rPr>
          <w:rFonts w:cs="Calibri"/>
          <w:sz w:val="24"/>
          <w:szCs w:val="24"/>
        </w:rPr>
        <w:t>recognised</w:t>
      </w:r>
      <w:proofErr w:type="spellEnd"/>
      <w:r w:rsidRPr="005233DD">
        <w:rPr>
          <w:rFonts w:cs="Calibri"/>
          <w:sz w:val="24"/>
          <w:szCs w:val="24"/>
        </w:rPr>
        <w:t xml:space="preserve"> legal and consulting partners.  A list of our members is attached as Appendix A.</w:t>
      </w:r>
    </w:p>
    <w:p w:rsidR="00B776BE" w:rsidRDefault="00B776BE" w:rsidP="00B776BE">
      <w:pPr>
        <w:spacing w:after="0" w:line="240" w:lineRule="auto"/>
        <w:rPr>
          <w:sz w:val="24"/>
          <w:szCs w:val="24"/>
        </w:rPr>
      </w:pPr>
    </w:p>
    <w:p w:rsidR="00B776BE" w:rsidRDefault="00B776BE" w:rsidP="00B776BE">
      <w:pPr>
        <w:spacing w:after="0" w:line="240" w:lineRule="auto"/>
        <w:rPr>
          <w:sz w:val="24"/>
          <w:szCs w:val="24"/>
        </w:rPr>
      </w:pPr>
      <w:r>
        <w:rPr>
          <w:sz w:val="24"/>
          <w:szCs w:val="24"/>
        </w:rPr>
        <w:t xml:space="preserve">The FSF’s comments on the Consultation Paper are made on the basis that FSF’s consumer credit provider members are financial reporting entities under </w:t>
      </w:r>
      <w:r w:rsidR="00096304">
        <w:rPr>
          <w:sz w:val="24"/>
          <w:szCs w:val="24"/>
        </w:rPr>
        <w:t xml:space="preserve">Phase 1 of </w:t>
      </w:r>
      <w:r>
        <w:rPr>
          <w:sz w:val="24"/>
          <w:szCs w:val="24"/>
        </w:rPr>
        <w:t>the Anti-Money Laundering and Countering Financing of Terrorism Act 2009 (“AML/CFT Act”) and have taken their compliance obligations in regard to this Act very seriously.  The FSF has also been very supportive of the Phase 2 AML/CFT reforms to bring other businesses within the coverage of the Act.</w:t>
      </w:r>
    </w:p>
    <w:p w:rsidR="00B776BE" w:rsidRDefault="00B776BE" w:rsidP="00B776BE">
      <w:pPr>
        <w:spacing w:after="0" w:line="240" w:lineRule="auto"/>
        <w:rPr>
          <w:sz w:val="24"/>
          <w:szCs w:val="24"/>
        </w:rPr>
      </w:pPr>
    </w:p>
    <w:p w:rsidR="00B776BE" w:rsidRDefault="00B776BE" w:rsidP="00B776BE">
      <w:pPr>
        <w:spacing w:after="0" w:line="240" w:lineRule="auto"/>
        <w:rPr>
          <w:sz w:val="24"/>
          <w:szCs w:val="24"/>
        </w:rPr>
      </w:pPr>
      <w:r>
        <w:rPr>
          <w:sz w:val="24"/>
          <w:szCs w:val="24"/>
        </w:rPr>
        <w:t>The FSF’s answers to the questions raised in the Consultation Paper follow.</w:t>
      </w:r>
    </w:p>
    <w:p w:rsidR="00B776BE" w:rsidRDefault="00B776BE" w:rsidP="00B776BE">
      <w:pPr>
        <w:spacing w:after="0" w:line="240" w:lineRule="auto"/>
        <w:rPr>
          <w:sz w:val="24"/>
          <w:szCs w:val="24"/>
        </w:rPr>
      </w:pPr>
    </w:p>
    <w:p w:rsidR="00B776BE" w:rsidRDefault="00B776BE" w:rsidP="00B776BE">
      <w:pPr>
        <w:pStyle w:val="ListParagraph"/>
        <w:numPr>
          <w:ilvl w:val="0"/>
          <w:numId w:val="1"/>
        </w:numPr>
        <w:spacing w:after="0" w:line="240" w:lineRule="auto"/>
        <w:rPr>
          <w:b/>
          <w:sz w:val="24"/>
          <w:szCs w:val="24"/>
        </w:rPr>
      </w:pPr>
      <w:r>
        <w:rPr>
          <w:b/>
          <w:sz w:val="24"/>
          <w:szCs w:val="24"/>
        </w:rPr>
        <w:t>Are the details to be contained in suspicious activity reports clear?</w:t>
      </w:r>
    </w:p>
    <w:p w:rsidR="007F4FFD" w:rsidRDefault="007F4FFD" w:rsidP="007F4FFD">
      <w:pPr>
        <w:spacing w:after="0" w:line="240" w:lineRule="auto"/>
        <w:rPr>
          <w:b/>
          <w:sz w:val="24"/>
          <w:szCs w:val="24"/>
        </w:rPr>
      </w:pPr>
    </w:p>
    <w:p w:rsidR="007F4FFD" w:rsidRPr="007F4FFD" w:rsidRDefault="007F4FFD" w:rsidP="007F4FFD">
      <w:pPr>
        <w:spacing w:after="0" w:line="240" w:lineRule="auto"/>
        <w:rPr>
          <w:sz w:val="24"/>
          <w:szCs w:val="24"/>
        </w:rPr>
      </w:pPr>
      <w:r>
        <w:rPr>
          <w:sz w:val="24"/>
          <w:szCs w:val="24"/>
        </w:rPr>
        <w:t>The FSF believes that the details to be contained in suspicious activity reports as set out in Schedule 1 of the Regulations are clear.</w:t>
      </w:r>
    </w:p>
    <w:p w:rsidR="00B776BE" w:rsidRDefault="00B776BE" w:rsidP="00B776BE">
      <w:pPr>
        <w:spacing w:after="0" w:line="240" w:lineRule="auto"/>
        <w:rPr>
          <w:b/>
          <w:sz w:val="24"/>
          <w:szCs w:val="24"/>
        </w:rPr>
      </w:pPr>
    </w:p>
    <w:p w:rsidR="00B776BE" w:rsidRDefault="00B776BE" w:rsidP="00B776BE">
      <w:pPr>
        <w:pStyle w:val="ListParagraph"/>
        <w:numPr>
          <w:ilvl w:val="0"/>
          <w:numId w:val="1"/>
        </w:numPr>
        <w:spacing w:after="0" w:line="240" w:lineRule="auto"/>
        <w:rPr>
          <w:b/>
          <w:sz w:val="24"/>
          <w:szCs w:val="24"/>
        </w:rPr>
      </w:pPr>
      <w:r>
        <w:rPr>
          <w:b/>
          <w:sz w:val="24"/>
          <w:szCs w:val="24"/>
        </w:rPr>
        <w:t>Do you anticipate any challenges for reporting entities to provide the details to complete suspicious activity reports?</w:t>
      </w:r>
    </w:p>
    <w:p w:rsidR="007F4FFD" w:rsidRDefault="007F4FFD" w:rsidP="007F4FFD">
      <w:pPr>
        <w:spacing w:after="0" w:line="240" w:lineRule="auto"/>
        <w:rPr>
          <w:b/>
          <w:sz w:val="24"/>
          <w:szCs w:val="24"/>
        </w:rPr>
      </w:pPr>
    </w:p>
    <w:p w:rsidR="007F4FFD" w:rsidRDefault="007F4FFD" w:rsidP="007F4FFD">
      <w:pPr>
        <w:spacing w:after="0" w:line="240" w:lineRule="auto"/>
        <w:rPr>
          <w:sz w:val="24"/>
          <w:szCs w:val="24"/>
        </w:rPr>
      </w:pPr>
      <w:r>
        <w:rPr>
          <w:sz w:val="24"/>
          <w:szCs w:val="24"/>
        </w:rPr>
        <w:t>The FSF believes that the difficulty for reporting entities in reporting suspicious activities rather than transactions will be in determining what exactly suspicious activity is.</w:t>
      </w:r>
    </w:p>
    <w:p w:rsidR="007F4FFD" w:rsidRDefault="007F4FFD" w:rsidP="007F4FFD">
      <w:pPr>
        <w:spacing w:after="0" w:line="240" w:lineRule="auto"/>
        <w:rPr>
          <w:sz w:val="24"/>
          <w:szCs w:val="24"/>
        </w:rPr>
      </w:pPr>
    </w:p>
    <w:p w:rsidR="007F4FFD" w:rsidRPr="007F4FFD" w:rsidRDefault="00030970" w:rsidP="007F4FFD">
      <w:pPr>
        <w:spacing w:after="0" w:line="240" w:lineRule="auto"/>
        <w:rPr>
          <w:sz w:val="24"/>
          <w:szCs w:val="24"/>
        </w:rPr>
      </w:pPr>
      <w:r>
        <w:rPr>
          <w:sz w:val="24"/>
          <w:szCs w:val="24"/>
        </w:rPr>
        <w:lastRenderedPageBreak/>
        <w:t xml:space="preserve">The tendency for entities wishing to be compliant with the regulations could be to over-report any </w:t>
      </w:r>
      <w:proofErr w:type="spellStart"/>
      <w:r>
        <w:rPr>
          <w:sz w:val="24"/>
          <w:szCs w:val="24"/>
        </w:rPr>
        <w:t>behaviour</w:t>
      </w:r>
      <w:proofErr w:type="spellEnd"/>
      <w:r>
        <w:rPr>
          <w:sz w:val="24"/>
          <w:szCs w:val="24"/>
        </w:rPr>
        <w:t xml:space="preserve"> which might be potentially suspicious.  The FSF regularly interacts with the Financial Intelligence Unit (“FIU”) of the New Zealand Police in order to understand the types of transactions they would deem to be suspicious to ensure that these are being adequately reported.  It is envisaged that FSF and its members would continue this engagement to ensure a similarly high level of compliance with the requirement to report suspicious activity.</w:t>
      </w:r>
    </w:p>
    <w:p w:rsidR="00B776BE" w:rsidRPr="00B776BE" w:rsidRDefault="00B776BE" w:rsidP="00B776BE">
      <w:pPr>
        <w:pStyle w:val="ListParagraph"/>
        <w:rPr>
          <w:b/>
          <w:sz w:val="24"/>
          <w:szCs w:val="24"/>
        </w:rPr>
      </w:pPr>
    </w:p>
    <w:p w:rsidR="00B776BE" w:rsidRDefault="00B776BE" w:rsidP="00B776BE">
      <w:pPr>
        <w:pStyle w:val="ListParagraph"/>
        <w:numPr>
          <w:ilvl w:val="0"/>
          <w:numId w:val="1"/>
        </w:numPr>
        <w:spacing w:after="0" w:line="240" w:lineRule="auto"/>
        <w:rPr>
          <w:b/>
          <w:sz w:val="24"/>
          <w:szCs w:val="24"/>
        </w:rPr>
      </w:pPr>
      <w:r>
        <w:rPr>
          <w:b/>
          <w:sz w:val="24"/>
          <w:szCs w:val="24"/>
        </w:rPr>
        <w:t>Are there other matters that should also be required in suspicious activity reports?</w:t>
      </w:r>
    </w:p>
    <w:p w:rsidR="00030970" w:rsidRDefault="00030970" w:rsidP="00030970">
      <w:pPr>
        <w:spacing w:after="0" w:line="240" w:lineRule="auto"/>
        <w:rPr>
          <w:b/>
          <w:sz w:val="24"/>
          <w:szCs w:val="24"/>
        </w:rPr>
      </w:pPr>
    </w:p>
    <w:p w:rsidR="00030970" w:rsidRPr="00030970" w:rsidRDefault="00030970" w:rsidP="00030970">
      <w:pPr>
        <w:spacing w:after="0" w:line="240" w:lineRule="auto"/>
        <w:rPr>
          <w:sz w:val="24"/>
          <w:szCs w:val="24"/>
        </w:rPr>
      </w:pPr>
      <w:r>
        <w:rPr>
          <w:sz w:val="24"/>
          <w:szCs w:val="24"/>
        </w:rPr>
        <w:t>The FSF is unable to think of any other details that could be included in suspicious activity reports.</w:t>
      </w:r>
    </w:p>
    <w:p w:rsidR="00096304" w:rsidRPr="00096304" w:rsidRDefault="00096304" w:rsidP="00096304">
      <w:pPr>
        <w:pStyle w:val="ListParagraph"/>
        <w:rPr>
          <w:b/>
          <w:sz w:val="24"/>
          <w:szCs w:val="24"/>
        </w:rPr>
      </w:pPr>
    </w:p>
    <w:p w:rsidR="00096304" w:rsidRDefault="00096304" w:rsidP="00B776BE">
      <w:pPr>
        <w:pStyle w:val="ListParagraph"/>
        <w:numPr>
          <w:ilvl w:val="0"/>
          <w:numId w:val="1"/>
        </w:numPr>
        <w:spacing w:after="0" w:line="240" w:lineRule="auto"/>
        <w:rPr>
          <w:b/>
          <w:sz w:val="24"/>
          <w:szCs w:val="24"/>
        </w:rPr>
      </w:pPr>
      <w:r>
        <w:rPr>
          <w:b/>
          <w:sz w:val="24"/>
          <w:szCs w:val="24"/>
        </w:rPr>
        <w:t>Are the questions in the new draft annual report form (Schedule 2A) clear?</w:t>
      </w:r>
    </w:p>
    <w:p w:rsidR="00030970" w:rsidRDefault="00030970" w:rsidP="00030970">
      <w:pPr>
        <w:spacing w:after="0" w:line="240" w:lineRule="auto"/>
        <w:rPr>
          <w:b/>
          <w:sz w:val="24"/>
          <w:szCs w:val="24"/>
        </w:rPr>
      </w:pPr>
    </w:p>
    <w:p w:rsidR="00030970" w:rsidRPr="00030970" w:rsidRDefault="00030970" w:rsidP="00030970">
      <w:pPr>
        <w:spacing w:after="0" w:line="240" w:lineRule="auto"/>
        <w:rPr>
          <w:sz w:val="24"/>
          <w:szCs w:val="24"/>
        </w:rPr>
      </w:pPr>
      <w:r>
        <w:rPr>
          <w:sz w:val="24"/>
          <w:szCs w:val="24"/>
        </w:rPr>
        <w:t>The FSF notes that the questions in the new draft annual report form are very similar to those of the current form with the exception that questions 17-22 of the current form relating to Trust and Company Service Providers have been removed.  On that basis, the FSF believes they will be sufficiently clear to existing financial reporting entities.</w:t>
      </w:r>
    </w:p>
    <w:p w:rsidR="00096304" w:rsidRPr="00D21C8B" w:rsidRDefault="00096304" w:rsidP="00096304">
      <w:pPr>
        <w:pStyle w:val="ListParagraph"/>
        <w:rPr>
          <w:sz w:val="24"/>
          <w:szCs w:val="24"/>
        </w:rPr>
      </w:pPr>
    </w:p>
    <w:p w:rsidR="00096304" w:rsidRDefault="00096304" w:rsidP="00B776BE">
      <w:pPr>
        <w:pStyle w:val="ListParagraph"/>
        <w:numPr>
          <w:ilvl w:val="0"/>
          <w:numId w:val="1"/>
        </w:numPr>
        <w:spacing w:after="0" w:line="240" w:lineRule="auto"/>
        <w:rPr>
          <w:b/>
          <w:sz w:val="24"/>
          <w:szCs w:val="24"/>
        </w:rPr>
      </w:pPr>
      <w:r>
        <w:rPr>
          <w:b/>
          <w:sz w:val="24"/>
          <w:szCs w:val="24"/>
        </w:rPr>
        <w:t>Do you anticipate any challenge for the relevant reporting entities to provide the information to complete the form?</w:t>
      </w:r>
    </w:p>
    <w:p w:rsidR="00030970" w:rsidRDefault="00030970" w:rsidP="00030970">
      <w:pPr>
        <w:spacing w:after="0" w:line="240" w:lineRule="auto"/>
        <w:rPr>
          <w:b/>
          <w:sz w:val="24"/>
          <w:szCs w:val="24"/>
        </w:rPr>
      </w:pPr>
    </w:p>
    <w:p w:rsidR="00D21C8B" w:rsidRPr="00D21C8B" w:rsidRDefault="00D21C8B" w:rsidP="00030970">
      <w:pPr>
        <w:spacing w:after="0" w:line="240" w:lineRule="auto"/>
        <w:rPr>
          <w:sz w:val="24"/>
          <w:szCs w:val="24"/>
        </w:rPr>
      </w:pPr>
      <w:r>
        <w:rPr>
          <w:sz w:val="24"/>
          <w:szCs w:val="24"/>
        </w:rPr>
        <w:t>The FSF does not anticipate any challenge to current financial reporting entities to provide the information to complete the form.</w:t>
      </w:r>
    </w:p>
    <w:p w:rsidR="00096304" w:rsidRPr="00096304" w:rsidRDefault="00096304" w:rsidP="00096304">
      <w:pPr>
        <w:pStyle w:val="ListParagraph"/>
        <w:rPr>
          <w:b/>
          <w:sz w:val="24"/>
          <w:szCs w:val="24"/>
        </w:rPr>
      </w:pPr>
    </w:p>
    <w:p w:rsidR="00096304" w:rsidRDefault="00096304" w:rsidP="00B776BE">
      <w:pPr>
        <w:pStyle w:val="ListParagraph"/>
        <w:numPr>
          <w:ilvl w:val="0"/>
          <w:numId w:val="1"/>
        </w:numPr>
        <w:spacing w:after="0" w:line="240" w:lineRule="auto"/>
        <w:rPr>
          <w:b/>
          <w:sz w:val="24"/>
          <w:szCs w:val="24"/>
        </w:rPr>
      </w:pPr>
      <w:r>
        <w:rPr>
          <w:b/>
          <w:sz w:val="24"/>
          <w:szCs w:val="24"/>
        </w:rPr>
        <w:t>Are there other matters that should also be required in the new draft annual report form?</w:t>
      </w:r>
    </w:p>
    <w:p w:rsidR="00D21C8B" w:rsidRDefault="00D21C8B" w:rsidP="00D21C8B">
      <w:pPr>
        <w:spacing w:after="0" w:line="240" w:lineRule="auto"/>
        <w:rPr>
          <w:b/>
          <w:sz w:val="24"/>
          <w:szCs w:val="24"/>
        </w:rPr>
      </w:pPr>
    </w:p>
    <w:p w:rsidR="00D21C8B" w:rsidRPr="00D21C8B" w:rsidRDefault="00D21C8B" w:rsidP="00D21C8B">
      <w:pPr>
        <w:spacing w:after="0" w:line="240" w:lineRule="auto"/>
        <w:rPr>
          <w:sz w:val="24"/>
          <w:szCs w:val="24"/>
        </w:rPr>
      </w:pPr>
      <w:r>
        <w:rPr>
          <w:sz w:val="24"/>
          <w:szCs w:val="24"/>
        </w:rPr>
        <w:t>The FSF is unable to think of any other details that could be included in suspicious activity reports.</w:t>
      </w:r>
    </w:p>
    <w:p w:rsidR="00096304" w:rsidRPr="00096304" w:rsidRDefault="00096304" w:rsidP="00096304">
      <w:pPr>
        <w:pStyle w:val="ListParagraph"/>
        <w:rPr>
          <w:b/>
          <w:sz w:val="24"/>
          <w:szCs w:val="24"/>
        </w:rPr>
      </w:pPr>
    </w:p>
    <w:p w:rsidR="00096304" w:rsidRDefault="00096304" w:rsidP="00B776BE">
      <w:pPr>
        <w:pStyle w:val="ListParagraph"/>
        <w:numPr>
          <w:ilvl w:val="0"/>
          <w:numId w:val="1"/>
        </w:numPr>
        <w:spacing w:after="0" w:line="240" w:lineRule="auto"/>
        <w:rPr>
          <w:b/>
          <w:sz w:val="24"/>
          <w:szCs w:val="24"/>
        </w:rPr>
      </w:pPr>
      <w:r>
        <w:rPr>
          <w:b/>
          <w:sz w:val="24"/>
          <w:szCs w:val="24"/>
        </w:rPr>
        <w:t>Do you have any other comments about the new draft annual report form?</w:t>
      </w:r>
    </w:p>
    <w:p w:rsidR="00D21C8B" w:rsidRDefault="00D21C8B" w:rsidP="00D21C8B">
      <w:pPr>
        <w:spacing w:after="0" w:line="240" w:lineRule="auto"/>
        <w:rPr>
          <w:b/>
          <w:sz w:val="24"/>
          <w:szCs w:val="24"/>
        </w:rPr>
      </w:pPr>
    </w:p>
    <w:p w:rsidR="00D21C8B" w:rsidRPr="00D21C8B" w:rsidRDefault="00D21C8B" w:rsidP="00D21C8B">
      <w:pPr>
        <w:spacing w:after="0" w:line="240" w:lineRule="auto"/>
        <w:rPr>
          <w:sz w:val="24"/>
          <w:szCs w:val="24"/>
        </w:rPr>
      </w:pPr>
      <w:r>
        <w:rPr>
          <w:sz w:val="24"/>
          <w:szCs w:val="24"/>
        </w:rPr>
        <w:t>The FSF has no further comment to make about the new draft annual report form.</w:t>
      </w:r>
    </w:p>
    <w:p w:rsidR="00096304" w:rsidRPr="00096304" w:rsidRDefault="00096304" w:rsidP="00096304">
      <w:pPr>
        <w:pStyle w:val="ListParagraph"/>
        <w:rPr>
          <w:b/>
          <w:sz w:val="24"/>
          <w:szCs w:val="24"/>
        </w:rPr>
      </w:pPr>
    </w:p>
    <w:p w:rsidR="00096304" w:rsidRDefault="00096304" w:rsidP="00B776BE">
      <w:pPr>
        <w:pStyle w:val="ListParagraph"/>
        <w:numPr>
          <w:ilvl w:val="0"/>
          <w:numId w:val="1"/>
        </w:numPr>
        <w:spacing w:after="0" w:line="240" w:lineRule="auto"/>
        <w:rPr>
          <w:b/>
          <w:sz w:val="24"/>
          <w:szCs w:val="24"/>
        </w:rPr>
      </w:pPr>
      <w:r>
        <w:rPr>
          <w:b/>
          <w:sz w:val="24"/>
          <w:szCs w:val="24"/>
        </w:rPr>
        <w:t>Do you agree that financial institution activities should be excluded from being an “occasional activity” for the purposes of the AML/CFT Act?</w:t>
      </w:r>
    </w:p>
    <w:p w:rsidR="00D21C8B" w:rsidRDefault="00D21C8B" w:rsidP="00D21C8B">
      <w:pPr>
        <w:spacing w:after="0" w:line="240" w:lineRule="auto"/>
        <w:rPr>
          <w:b/>
          <w:sz w:val="24"/>
          <w:szCs w:val="24"/>
        </w:rPr>
      </w:pPr>
    </w:p>
    <w:p w:rsidR="00D21C8B" w:rsidRPr="00EF72D8" w:rsidRDefault="0061037F" w:rsidP="00D21C8B">
      <w:pPr>
        <w:spacing w:after="0" w:line="240" w:lineRule="auto"/>
        <w:rPr>
          <w:sz w:val="24"/>
          <w:szCs w:val="24"/>
        </w:rPr>
      </w:pPr>
      <w:r>
        <w:rPr>
          <w:b/>
          <w:sz w:val="24"/>
          <w:szCs w:val="24"/>
        </w:rPr>
        <w:t xml:space="preserve"> </w:t>
      </w:r>
      <w:r w:rsidR="00EF72D8">
        <w:rPr>
          <w:sz w:val="24"/>
          <w:szCs w:val="24"/>
        </w:rPr>
        <w:t>The FSF agrees with the list of financial institution activities described in the proposed regulations as not being occasional activities.</w:t>
      </w:r>
    </w:p>
    <w:p w:rsidR="00096304" w:rsidRPr="00096304" w:rsidRDefault="00096304" w:rsidP="00096304">
      <w:pPr>
        <w:pStyle w:val="ListParagraph"/>
        <w:rPr>
          <w:b/>
          <w:sz w:val="24"/>
          <w:szCs w:val="24"/>
        </w:rPr>
      </w:pPr>
    </w:p>
    <w:p w:rsidR="00096304" w:rsidRDefault="00096304" w:rsidP="00B776BE">
      <w:pPr>
        <w:pStyle w:val="ListParagraph"/>
        <w:numPr>
          <w:ilvl w:val="0"/>
          <w:numId w:val="1"/>
        </w:numPr>
        <w:spacing w:after="0" w:line="240" w:lineRule="auto"/>
        <w:rPr>
          <w:b/>
          <w:sz w:val="24"/>
          <w:szCs w:val="24"/>
        </w:rPr>
      </w:pPr>
      <w:r>
        <w:rPr>
          <w:b/>
          <w:sz w:val="24"/>
          <w:szCs w:val="24"/>
        </w:rPr>
        <w:t>Why/why not?</w:t>
      </w:r>
    </w:p>
    <w:p w:rsidR="00EF72D8" w:rsidRDefault="00EF72D8" w:rsidP="00EF72D8">
      <w:pPr>
        <w:spacing w:after="0" w:line="240" w:lineRule="auto"/>
        <w:rPr>
          <w:b/>
          <w:sz w:val="24"/>
          <w:szCs w:val="24"/>
        </w:rPr>
      </w:pPr>
    </w:p>
    <w:p w:rsidR="00EF72D8" w:rsidRPr="00EF72D8" w:rsidRDefault="00EF72D8" w:rsidP="00EF72D8">
      <w:pPr>
        <w:spacing w:after="0" w:line="240" w:lineRule="auto"/>
        <w:rPr>
          <w:sz w:val="24"/>
          <w:szCs w:val="24"/>
        </w:rPr>
      </w:pPr>
      <w:r>
        <w:rPr>
          <w:sz w:val="24"/>
          <w:szCs w:val="24"/>
        </w:rPr>
        <w:lastRenderedPageBreak/>
        <w:t>The list of activities described in the proposed regulations are not, in the view of the FSF, “occasional transactions” as described in the Consultation Paper as being cash transactions that occur outside of a business relationship.  In the opinion of the FSF, all the activities listed under new regulation 24A would require a business relationship between the financial reporting entity and the customer concerned.</w:t>
      </w:r>
    </w:p>
    <w:p w:rsidR="00096304" w:rsidRPr="00096304" w:rsidRDefault="00096304" w:rsidP="00096304">
      <w:pPr>
        <w:pStyle w:val="ListParagraph"/>
        <w:rPr>
          <w:b/>
          <w:sz w:val="24"/>
          <w:szCs w:val="24"/>
        </w:rPr>
      </w:pPr>
    </w:p>
    <w:p w:rsidR="00096304" w:rsidRDefault="00096304" w:rsidP="00EF72D8">
      <w:pPr>
        <w:pStyle w:val="ListParagraph"/>
        <w:numPr>
          <w:ilvl w:val="0"/>
          <w:numId w:val="1"/>
        </w:numPr>
        <w:spacing w:after="0" w:line="240" w:lineRule="auto"/>
        <w:rPr>
          <w:b/>
          <w:sz w:val="24"/>
          <w:szCs w:val="24"/>
        </w:rPr>
      </w:pPr>
      <w:r>
        <w:rPr>
          <w:b/>
          <w:sz w:val="24"/>
          <w:szCs w:val="24"/>
        </w:rPr>
        <w:t>Do you have any comments on the proposed technical amendments?  Please be clear which regulation you are referring to.</w:t>
      </w:r>
    </w:p>
    <w:p w:rsidR="00EF72D8" w:rsidRDefault="00EF72D8" w:rsidP="00EF72D8">
      <w:pPr>
        <w:spacing w:after="0" w:line="240" w:lineRule="auto"/>
        <w:rPr>
          <w:b/>
          <w:sz w:val="24"/>
          <w:szCs w:val="24"/>
        </w:rPr>
      </w:pPr>
    </w:p>
    <w:p w:rsidR="00EF72D8" w:rsidRDefault="00EF72D8" w:rsidP="00EF72D8">
      <w:pPr>
        <w:spacing w:after="0" w:line="240" w:lineRule="auto"/>
        <w:rPr>
          <w:sz w:val="24"/>
          <w:szCs w:val="24"/>
        </w:rPr>
      </w:pPr>
      <w:r>
        <w:rPr>
          <w:sz w:val="24"/>
          <w:szCs w:val="24"/>
        </w:rPr>
        <w:t>The FSF has no comment to make with regard to the proposed technical amendments which all seem to be reasonable in the view of the FSF.</w:t>
      </w:r>
    </w:p>
    <w:p w:rsidR="00EF72D8" w:rsidRDefault="00EF72D8" w:rsidP="00EF72D8">
      <w:pPr>
        <w:spacing w:after="0" w:line="240" w:lineRule="auto"/>
        <w:rPr>
          <w:sz w:val="24"/>
          <w:szCs w:val="24"/>
        </w:rPr>
      </w:pPr>
    </w:p>
    <w:p w:rsidR="00EF72D8" w:rsidRDefault="00EF72D8" w:rsidP="00EF72D8">
      <w:pPr>
        <w:spacing w:after="0" w:line="240" w:lineRule="auto"/>
        <w:rPr>
          <w:sz w:val="24"/>
          <w:szCs w:val="24"/>
        </w:rPr>
      </w:pPr>
    </w:p>
    <w:p w:rsidR="00EF72D8" w:rsidRDefault="00EF72D8" w:rsidP="00EF72D8">
      <w:pPr>
        <w:spacing w:after="0" w:line="240" w:lineRule="auto"/>
        <w:rPr>
          <w:sz w:val="24"/>
          <w:szCs w:val="24"/>
        </w:rPr>
      </w:pPr>
      <w:r>
        <w:rPr>
          <w:sz w:val="24"/>
          <w:szCs w:val="24"/>
        </w:rPr>
        <w:t>The FSF has no further comment to make with regard to the proposed amendments to AML/CFT regulation. If the FSF can be of any further help in this regard, however, please do not hesitate to make contact.</w:t>
      </w:r>
    </w:p>
    <w:p w:rsidR="00EF72D8" w:rsidRDefault="00EF72D8" w:rsidP="00EF72D8">
      <w:pPr>
        <w:spacing w:after="0" w:line="240" w:lineRule="auto"/>
        <w:rPr>
          <w:sz w:val="24"/>
          <w:szCs w:val="24"/>
        </w:rPr>
      </w:pPr>
    </w:p>
    <w:p w:rsidR="00EF72D8" w:rsidRDefault="00EF72D8" w:rsidP="00EF72D8">
      <w:pPr>
        <w:spacing w:after="0" w:line="240" w:lineRule="auto"/>
        <w:rPr>
          <w:sz w:val="24"/>
          <w:szCs w:val="24"/>
        </w:rPr>
      </w:pPr>
    </w:p>
    <w:p w:rsidR="00EF72D8" w:rsidRDefault="00EF72D8" w:rsidP="00EF72D8">
      <w:pPr>
        <w:spacing w:after="0" w:line="240" w:lineRule="auto"/>
        <w:rPr>
          <w:sz w:val="24"/>
          <w:szCs w:val="24"/>
        </w:rPr>
      </w:pPr>
      <w:r>
        <w:rPr>
          <w:sz w:val="24"/>
          <w:szCs w:val="24"/>
        </w:rPr>
        <w:t xml:space="preserve">With kind regards, </w:t>
      </w:r>
    </w:p>
    <w:p w:rsidR="00EF72D8" w:rsidRDefault="00EF72D8" w:rsidP="00EF72D8">
      <w:pPr>
        <w:spacing w:after="0" w:line="240" w:lineRule="auto"/>
        <w:rPr>
          <w:sz w:val="24"/>
          <w:szCs w:val="24"/>
        </w:rPr>
      </w:pPr>
    </w:p>
    <w:p w:rsidR="00EF72D8" w:rsidRDefault="00EF72D8" w:rsidP="00EF72D8">
      <w:pPr>
        <w:spacing w:after="0" w:line="240" w:lineRule="auto"/>
        <w:rPr>
          <w:sz w:val="24"/>
          <w:szCs w:val="24"/>
        </w:rPr>
      </w:pPr>
    </w:p>
    <w:p w:rsidR="00EF72D8" w:rsidRDefault="00EF72D8" w:rsidP="00EF72D8">
      <w:pPr>
        <w:spacing w:after="0" w:line="240" w:lineRule="auto"/>
        <w:rPr>
          <w:sz w:val="24"/>
          <w:szCs w:val="24"/>
        </w:rPr>
      </w:pPr>
      <w:r>
        <w:rPr>
          <w:rFonts w:ascii="Garamond" w:hAnsi="Garamond"/>
          <w:noProof/>
          <w:lang w:val="en-NZ" w:eastAsia="en-NZ"/>
        </w:rPr>
        <w:drawing>
          <wp:inline distT="0" distB="0" distL="0" distR="0" wp14:anchorId="4EFB1F71" wp14:editId="12F20D51">
            <wp:extent cx="1323975" cy="48577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p w:rsidR="00EF72D8" w:rsidRDefault="00EF72D8" w:rsidP="00EF72D8">
      <w:pPr>
        <w:spacing w:after="0" w:line="240" w:lineRule="auto"/>
        <w:rPr>
          <w:sz w:val="24"/>
          <w:szCs w:val="24"/>
        </w:rPr>
      </w:pPr>
    </w:p>
    <w:p w:rsidR="00EF72D8" w:rsidRDefault="00EF72D8" w:rsidP="00EF72D8">
      <w:pPr>
        <w:spacing w:after="0" w:line="240" w:lineRule="auto"/>
        <w:rPr>
          <w:sz w:val="24"/>
          <w:szCs w:val="24"/>
        </w:rPr>
      </w:pPr>
    </w:p>
    <w:p w:rsidR="00EF72D8" w:rsidRDefault="00EF72D8" w:rsidP="00EF72D8">
      <w:pPr>
        <w:spacing w:after="0" w:line="240" w:lineRule="auto"/>
        <w:rPr>
          <w:sz w:val="24"/>
          <w:szCs w:val="24"/>
        </w:rPr>
      </w:pPr>
      <w:r>
        <w:rPr>
          <w:sz w:val="24"/>
          <w:szCs w:val="24"/>
        </w:rPr>
        <w:t>Lyn McMorran</w:t>
      </w:r>
    </w:p>
    <w:p w:rsidR="00EF72D8" w:rsidRDefault="00EF72D8" w:rsidP="00EF72D8">
      <w:pPr>
        <w:spacing w:after="0" w:line="240" w:lineRule="auto"/>
        <w:rPr>
          <w:sz w:val="24"/>
          <w:szCs w:val="24"/>
        </w:rPr>
      </w:pPr>
      <w:r>
        <w:rPr>
          <w:sz w:val="24"/>
          <w:szCs w:val="24"/>
        </w:rPr>
        <w:t>EXECUTIVE DIRECTOR</w:t>
      </w:r>
    </w:p>
    <w:p w:rsidR="00CD15CE" w:rsidRDefault="00CD15CE" w:rsidP="00EF72D8">
      <w:pPr>
        <w:spacing w:after="0" w:line="240" w:lineRule="auto"/>
        <w:rPr>
          <w:sz w:val="24"/>
          <w:szCs w:val="24"/>
        </w:rPr>
      </w:pPr>
    </w:p>
    <w:p w:rsidR="00CD15CE" w:rsidRDefault="00CD15CE">
      <w:pPr>
        <w:rPr>
          <w:sz w:val="24"/>
          <w:szCs w:val="24"/>
        </w:rPr>
      </w:pPr>
      <w:r>
        <w:rPr>
          <w:sz w:val="24"/>
          <w:szCs w:val="24"/>
        </w:rPr>
        <w:br w:type="page"/>
      </w:r>
    </w:p>
    <w:p w:rsidR="00CD15CE" w:rsidRDefault="00CD15CE" w:rsidP="00EF72D8">
      <w:pPr>
        <w:spacing w:after="0" w:line="240" w:lineRule="auto"/>
        <w:rPr>
          <w:sz w:val="24"/>
          <w:szCs w:val="24"/>
        </w:rPr>
        <w:sectPr w:rsidR="00CD15CE">
          <w:pgSz w:w="12240" w:h="15840"/>
          <w:pgMar w:top="1440" w:right="1440" w:bottom="1440" w:left="1440" w:header="720" w:footer="720" w:gutter="0"/>
          <w:cols w:space="720"/>
          <w:docGrid w:linePitch="360"/>
        </w:sectPr>
      </w:pPr>
    </w:p>
    <w:p w:rsidR="00CD15CE" w:rsidRPr="006C3603" w:rsidRDefault="00CD15CE" w:rsidP="00CD15CE">
      <w:pPr>
        <w:jc w:val="center"/>
        <w:rPr>
          <w:rFonts w:ascii="Arial" w:hAnsi="Arial" w:cs="Arial"/>
          <w:b/>
          <w:sz w:val="12"/>
          <w:szCs w:val="12"/>
        </w:rPr>
      </w:pPr>
    </w:p>
    <w:p w:rsidR="00CD15CE" w:rsidRDefault="00CD15CE" w:rsidP="00CD15CE">
      <w:pPr>
        <w:pStyle w:val="NoSpacing"/>
        <w:jc w:val="center"/>
      </w:pPr>
    </w:p>
    <w:p w:rsidR="00CD15CE" w:rsidRDefault="00CD15CE" w:rsidP="00CD15CE">
      <w:pPr>
        <w:pStyle w:val="NoSpacing"/>
        <w:jc w:val="center"/>
      </w:pPr>
      <w:r>
        <w:t xml:space="preserve">FSF </w:t>
      </w:r>
      <w:r w:rsidRPr="00D75DEB">
        <w:t>Membership List as at</w:t>
      </w:r>
      <w:r>
        <w:t xml:space="preserve"> 1</w:t>
      </w:r>
      <w:r w:rsidRPr="00F5156F">
        <w:rPr>
          <w:vertAlign w:val="superscript"/>
        </w:rPr>
        <w:t>st</w:t>
      </w:r>
      <w:r>
        <w:t xml:space="preserve"> August 2017</w:t>
      </w:r>
    </w:p>
    <w:p w:rsidR="00CD15CE" w:rsidRPr="00A154D0" w:rsidRDefault="00CD15CE" w:rsidP="00CD15CE">
      <w:pPr>
        <w:pStyle w:val="NoSpacing"/>
        <w:jc w:val="center"/>
      </w:pPr>
    </w:p>
    <w:tbl>
      <w:tblPr>
        <w:tblStyle w:val="TableGrid"/>
        <w:tblW w:w="15289" w:type="dxa"/>
        <w:jc w:val="center"/>
        <w:tblLook w:val="04A0" w:firstRow="1" w:lastRow="0" w:firstColumn="1" w:lastColumn="0" w:noHBand="0" w:noVBand="1"/>
      </w:tblPr>
      <w:tblGrid>
        <w:gridCol w:w="2831"/>
        <w:gridCol w:w="3060"/>
        <w:gridCol w:w="2517"/>
        <w:gridCol w:w="2266"/>
        <w:gridCol w:w="2168"/>
        <w:gridCol w:w="2353"/>
        <w:gridCol w:w="94"/>
      </w:tblGrid>
      <w:tr w:rsidR="00CD15CE" w:rsidRPr="00D75DEB" w:rsidTr="00CD15CE">
        <w:trPr>
          <w:trHeight w:val="508"/>
          <w:jc w:val="center"/>
        </w:trPr>
        <w:tc>
          <w:tcPr>
            <w:tcW w:w="2831" w:type="dxa"/>
            <w:shd w:val="clear" w:color="auto" w:fill="D9D9D9" w:themeFill="background1" w:themeFillShade="D9"/>
          </w:tcPr>
          <w:p w:rsidR="00CD15CE" w:rsidRPr="00D75DEB" w:rsidRDefault="00CD15CE" w:rsidP="00423587">
            <w:pPr>
              <w:pStyle w:val="NoSpacing"/>
              <w:rPr>
                <w:sz w:val="20"/>
                <w:szCs w:val="20"/>
              </w:rPr>
            </w:pPr>
            <w:r w:rsidRPr="00D75DEB">
              <w:rPr>
                <w:sz w:val="20"/>
                <w:szCs w:val="20"/>
              </w:rPr>
              <w:t>Debenture Issuers - (NBDT)</w:t>
            </w:r>
          </w:p>
          <w:p w:rsidR="00CD15CE" w:rsidRPr="00D75DEB" w:rsidRDefault="00CD15CE" w:rsidP="00423587">
            <w:pPr>
              <w:pStyle w:val="NoSpacing"/>
              <w:rPr>
                <w:sz w:val="20"/>
                <w:szCs w:val="20"/>
              </w:rPr>
            </w:pPr>
            <w:r w:rsidRPr="00D75DEB">
              <w:rPr>
                <w:sz w:val="20"/>
                <w:szCs w:val="20"/>
              </w:rPr>
              <w:t>Non-Bank Deposit Takers</w:t>
            </w:r>
          </w:p>
        </w:tc>
        <w:tc>
          <w:tcPr>
            <w:tcW w:w="3060" w:type="dxa"/>
            <w:shd w:val="clear" w:color="auto" w:fill="D9D9D9" w:themeFill="background1" w:themeFillShade="D9"/>
          </w:tcPr>
          <w:p w:rsidR="00CD15CE" w:rsidRPr="00D75DEB" w:rsidRDefault="00CD15CE" w:rsidP="00423587">
            <w:pPr>
              <w:pStyle w:val="NoSpacing"/>
              <w:rPr>
                <w:sz w:val="20"/>
                <w:szCs w:val="20"/>
              </w:rPr>
            </w:pPr>
            <w:r w:rsidRPr="00D75DEB">
              <w:rPr>
                <w:sz w:val="20"/>
                <w:szCs w:val="20"/>
              </w:rPr>
              <w:t>Vehicle Lenders</w:t>
            </w:r>
          </w:p>
        </w:tc>
        <w:tc>
          <w:tcPr>
            <w:tcW w:w="2517" w:type="dxa"/>
            <w:shd w:val="clear" w:color="auto" w:fill="D9D9D9" w:themeFill="background1" w:themeFillShade="D9"/>
          </w:tcPr>
          <w:p w:rsidR="00CD15CE" w:rsidRPr="00D75DEB" w:rsidRDefault="00CD15CE" w:rsidP="00423587">
            <w:pPr>
              <w:pStyle w:val="NoSpacing"/>
              <w:rPr>
                <w:sz w:val="20"/>
                <w:szCs w:val="20"/>
              </w:rPr>
            </w:pPr>
            <w:r w:rsidRPr="00D75DEB">
              <w:rPr>
                <w:sz w:val="20"/>
                <w:szCs w:val="20"/>
              </w:rPr>
              <w:t xml:space="preserve">Finance Company </w:t>
            </w:r>
          </w:p>
          <w:p w:rsidR="00CD15CE" w:rsidRPr="00D75DEB" w:rsidRDefault="00CD15CE" w:rsidP="00423587">
            <w:pPr>
              <w:pStyle w:val="NoSpacing"/>
              <w:rPr>
                <w:sz w:val="20"/>
                <w:szCs w:val="20"/>
              </w:rPr>
            </w:pPr>
            <w:r w:rsidRPr="00D75DEB">
              <w:rPr>
                <w:sz w:val="20"/>
                <w:szCs w:val="20"/>
              </w:rPr>
              <w:t>Diversified Lenders</w:t>
            </w:r>
          </w:p>
        </w:tc>
        <w:tc>
          <w:tcPr>
            <w:tcW w:w="2266" w:type="dxa"/>
            <w:shd w:val="clear" w:color="auto" w:fill="D9D9D9" w:themeFill="background1" w:themeFillShade="D9"/>
          </w:tcPr>
          <w:p w:rsidR="00CD15CE" w:rsidRPr="00D75DEB" w:rsidRDefault="00CD15CE" w:rsidP="00423587">
            <w:pPr>
              <w:pStyle w:val="NoSpacing"/>
              <w:rPr>
                <w:sz w:val="20"/>
                <w:szCs w:val="20"/>
              </w:rPr>
            </w:pPr>
            <w:r w:rsidRPr="00D75DEB">
              <w:rPr>
                <w:sz w:val="20"/>
                <w:szCs w:val="20"/>
              </w:rPr>
              <w:t>Credit Reporting</w:t>
            </w:r>
          </w:p>
          <w:p w:rsidR="00CD15CE" w:rsidRPr="00D75DEB" w:rsidRDefault="00CD15CE" w:rsidP="00423587">
            <w:pPr>
              <w:pStyle w:val="NoSpacing"/>
              <w:rPr>
                <w:sz w:val="20"/>
                <w:szCs w:val="20"/>
              </w:rPr>
            </w:pPr>
            <w:r>
              <w:rPr>
                <w:sz w:val="20"/>
                <w:szCs w:val="20"/>
              </w:rPr>
              <w:t>Other</w:t>
            </w:r>
          </w:p>
        </w:tc>
        <w:tc>
          <w:tcPr>
            <w:tcW w:w="2168" w:type="dxa"/>
            <w:shd w:val="clear" w:color="auto" w:fill="D9D9D9" w:themeFill="background1" w:themeFillShade="D9"/>
          </w:tcPr>
          <w:p w:rsidR="00CD15CE" w:rsidRPr="00D75DEB" w:rsidRDefault="00CD15CE" w:rsidP="00423587">
            <w:pPr>
              <w:pStyle w:val="NoSpacing"/>
              <w:rPr>
                <w:sz w:val="20"/>
                <w:szCs w:val="20"/>
              </w:rPr>
            </w:pPr>
            <w:r w:rsidRPr="00D75DEB">
              <w:rPr>
                <w:sz w:val="20"/>
                <w:szCs w:val="20"/>
              </w:rPr>
              <w:t>Insurance</w:t>
            </w:r>
          </w:p>
        </w:tc>
        <w:tc>
          <w:tcPr>
            <w:tcW w:w="2447" w:type="dxa"/>
            <w:gridSpan w:val="2"/>
            <w:shd w:val="clear" w:color="auto" w:fill="D9D9D9" w:themeFill="background1" w:themeFillShade="D9"/>
          </w:tcPr>
          <w:p w:rsidR="00CD15CE" w:rsidRPr="00D75DEB" w:rsidRDefault="00CD15CE" w:rsidP="00423587">
            <w:pPr>
              <w:pStyle w:val="NoSpacing"/>
              <w:rPr>
                <w:sz w:val="20"/>
                <w:szCs w:val="20"/>
              </w:rPr>
            </w:pPr>
            <w:r w:rsidRPr="00D75DEB">
              <w:rPr>
                <w:sz w:val="20"/>
                <w:szCs w:val="20"/>
              </w:rPr>
              <w:t>Affiliate Members</w:t>
            </w:r>
          </w:p>
          <w:p w:rsidR="00CD15CE" w:rsidRPr="00D75DEB" w:rsidRDefault="00CD15CE" w:rsidP="00423587">
            <w:pPr>
              <w:pStyle w:val="NoSpacing"/>
              <w:rPr>
                <w:sz w:val="20"/>
                <w:szCs w:val="20"/>
              </w:rPr>
            </w:pPr>
          </w:p>
        </w:tc>
      </w:tr>
      <w:tr w:rsidR="00CD15CE" w:rsidRPr="00D75DEB" w:rsidTr="00CD15CE">
        <w:trPr>
          <w:gridAfter w:val="1"/>
          <w:wAfter w:w="94" w:type="dxa"/>
          <w:trHeight w:val="5920"/>
          <w:jc w:val="center"/>
        </w:trPr>
        <w:tc>
          <w:tcPr>
            <w:tcW w:w="2831" w:type="dxa"/>
          </w:tcPr>
          <w:p w:rsidR="00CD15CE" w:rsidRPr="00D75DEB" w:rsidRDefault="00CD15CE" w:rsidP="00423587">
            <w:pPr>
              <w:pStyle w:val="NoSpacing"/>
              <w:rPr>
                <w:sz w:val="20"/>
                <w:szCs w:val="20"/>
                <w:u w:val="single"/>
              </w:rPr>
            </w:pPr>
          </w:p>
          <w:p w:rsidR="00CD15CE" w:rsidRPr="00AE1DC4" w:rsidRDefault="00CD15CE" w:rsidP="00423587">
            <w:pPr>
              <w:pStyle w:val="NoSpacing"/>
              <w:rPr>
                <w:sz w:val="20"/>
                <w:szCs w:val="20"/>
                <w:u w:val="single"/>
              </w:rPr>
            </w:pPr>
            <w:r w:rsidRPr="00AE1DC4">
              <w:rPr>
                <w:sz w:val="20"/>
                <w:szCs w:val="20"/>
                <w:u w:val="single"/>
              </w:rPr>
              <w:t>Rated</w:t>
            </w:r>
          </w:p>
          <w:p w:rsidR="00CD15CE" w:rsidRPr="00D75DEB" w:rsidRDefault="00CD15CE" w:rsidP="00423587">
            <w:pPr>
              <w:pStyle w:val="NoSpacing"/>
              <w:rPr>
                <w:sz w:val="8"/>
                <w:szCs w:val="8"/>
              </w:rPr>
            </w:pPr>
          </w:p>
          <w:p w:rsidR="00CD15CE" w:rsidRPr="00D75DEB" w:rsidRDefault="00CD15CE" w:rsidP="00423587">
            <w:pPr>
              <w:pStyle w:val="NoSpacing"/>
              <w:rPr>
                <w:sz w:val="20"/>
                <w:szCs w:val="20"/>
              </w:rPr>
            </w:pPr>
            <w:r w:rsidRPr="00D75DEB">
              <w:rPr>
                <w:sz w:val="20"/>
                <w:szCs w:val="20"/>
              </w:rPr>
              <w:t xml:space="preserve">Asset Finance </w:t>
            </w:r>
            <w:r w:rsidRPr="00D75DEB">
              <w:rPr>
                <w:color w:val="FF0000"/>
                <w:sz w:val="20"/>
                <w:szCs w:val="20"/>
              </w:rPr>
              <w:t>(B)</w:t>
            </w:r>
          </w:p>
          <w:p w:rsidR="00CD15CE" w:rsidRPr="00E3166A" w:rsidRDefault="00CD15CE" w:rsidP="00423587">
            <w:pPr>
              <w:pStyle w:val="NoSpacing"/>
              <w:rPr>
                <w:sz w:val="10"/>
                <w:szCs w:val="10"/>
              </w:rPr>
            </w:pPr>
          </w:p>
          <w:p w:rsidR="00CD15CE" w:rsidRDefault="00CD15CE" w:rsidP="00423587">
            <w:pPr>
              <w:pStyle w:val="NoSpacing"/>
              <w:rPr>
                <w:sz w:val="20"/>
                <w:szCs w:val="20"/>
              </w:rPr>
            </w:pPr>
            <w:r>
              <w:rPr>
                <w:sz w:val="20"/>
                <w:szCs w:val="20"/>
              </w:rPr>
              <w:t xml:space="preserve">Flexi </w:t>
            </w:r>
            <w:proofErr w:type="gramStart"/>
            <w:r>
              <w:rPr>
                <w:sz w:val="20"/>
                <w:szCs w:val="20"/>
              </w:rPr>
              <w:t xml:space="preserve">Cards </w:t>
            </w:r>
            <w:r w:rsidRPr="00D75DEB">
              <w:rPr>
                <w:sz w:val="20"/>
                <w:szCs w:val="20"/>
              </w:rPr>
              <w:t xml:space="preserve"> </w:t>
            </w:r>
            <w:r w:rsidRPr="00D75DEB">
              <w:rPr>
                <w:color w:val="FF0000"/>
                <w:sz w:val="20"/>
                <w:szCs w:val="20"/>
              </w:rPr>
              <w:t>(</w:t>
            </w:r>
            <w:proofErr w:type="gramEnd"/>
            <w:r w:rsidRPr="00D75DEB">
              <w:rPr>
                <w:color w:val="FF0000"/>
                <w:sz w:val="20"/>
                <w:szCs w:val="20"/>
              </w:rPr>
              <w:t>BB+)</w:t>
            </w:r>
            <w:r w:rsidRPr="00D75DEB">
              <w:rPr>
                <w:sz w:val="20"/>
                <w:szCs w:val="20"/>
              </w:rPr>
              <w:t xml:space="preserve"> </w:t>
            </w:r>
          </w:p>
          <w:p w:rsidR="00CD15CE" w:rsidRPr="00E26E3D" w:rsidRDefault="00CD15CE" w:rsidP="00423587">
            <w:pPr>
              <w:pStyle w:val="NoSpacing"/>
              <w:rPr>
                <w:sz w:val="20"/>
                <w:szCs w:val="20"/>
              </w:rPr>
            </w:pPr>
          </w:p>
          <w:p w:rsidR="00CD15CE" w:rsidRPr="007B3D6A" w:rsidRDefault="00CD15CE" w:rsidP="00423587">
            <w:pPr>
              <w:pStyle w:val="NoSpacing"/>
              <w:rPr>
                <w:sz w:val="20"/>
                <w:szCs w:val="20"/>
              </w:rPr>
            </w:pPr>
          </w:p>
          <w:p w:rsidR="00CD15CE" w:rsidRPr="00C50F71" w:rsidRDefault="00CD15CE" w:rsidP="00423587">
            <w:pPr>
              <w:pStyle w:val="NoSpacing"/>
              <w:rPr>
                <w:sz w:val="20"/>
                <w:szCs w:val="20"/>
              </w:rPr>
            </w:pPr>
          </w:p>
          <w:p w:rsidR="00CD15CE" w:rsidRPr="00D75DEB" w:rsidRDefault="00CD15CE" w:rsidP="00423587">
            <w:pPr>
              <w:pStyle w:val="NoSpacing"/>
              <w:rPr>
                <w:sz w:val="20"/>
                <w:szCs w:val="20"/>
                <w:u w:val="single"/>
              </w:rPr>
            </w:pPr>
          </w:p>
          <w:p w:rsidR="00CD15CE" w:rsidRPr="00D75DEB" w:rsidRDefault="00CD15CE" w:rsidP="00423587">
            <w:pPr>
              <w:pStyle w:val="NoSpacing"/>
              <w:rPr>
                <w:sz w:val="20"/>
                <w:szCs w:val="20"/>
                <w:u w:val="single"/>
              </w:rPr>
            </w:pPr>
            <w:r w:rsidRPr="00D75DEB">
              <w:rPr>
                <w:sz w:val="20"/>
                <w:szCs w:val="20"/>
                <w:u w:val="single"/>
              </w:rPr>
              <w:t>Non-Rated</w:t>
            </w:r>
          </w:p>
          <w:p w:rsidR="00CD15CE" w:rsidRPr="00D75DEB" w:rsidRDefault="00CD15CE" w:rsidP="00423587">
            <w:pPr>
              <w:pStyle w:val="NoSpacing"/>
              <w:rPr>
                <w:sz w:val="8"/>
                <w:szCs w:val="8"/>
              </w:rPr>
            </w:pPr>
          </w:p>
          <w:p w:rsidR="00CD15CE" w:rsidRPr="00D75DEB" w:rsidRDefault="00CD15CE" w:rsidP="00423587">
            <w:pPr>
              <w:pStyle w:val="NoSpacing"/>
              <w:rPr>
                <w:sz w:val="8"/>
                <w:szCs w:val="8"/>
              </w:rPr>
            </w:pPr>
          </w:p>
          <w:p w:rsidR="00CD15CE" w:rsidRDefault="00CD15CE" w:rsidP="00423587">
            <w:pPr>
              <w:pStyle w:val="NoSpacing"/>
              <w:rPr>
                <w:sz w:val="20"/>
                <w:szCs w:val="20"/>
              </w:rPr>
            </w:pPr>
            <w:bookmarkStart w:id="0" w:name="OLE_LINK1"/>
            <w:r w:rsidRPr="00D75DEB">
              <w:rPr>
                <w:sz w:val="20"/>
                <w:szCs w:val="20"/>
              </w:rPr>
              <w:t xml:space="preserve">Mutual Credit Finance </w:t>
            </w:r>
          </w:p>
          <w:p w:rsidR="00CD15CE" w:rsidRPr="00E3166A" w:rsidRDefault="00CD15CE" w:rsidP="00423587">
            <w:pPr>
              <w:pStyle w:val="NoSpacing"/>
              <w:rPr>
                <w:sz w:val="10"/>
                <w:szCs w:val="10"/>
              </w:rPr>
            </w:pPr>
          </w:p>
          <w:p w:rsidR="00CD15CE" w:rsidRPr="00C50F71" w:rsidRDefault="00CD15CE" w:rsidP="00423587">
            <w:pPr>
              <w:pStyle w:val="NoSpacing"/>
              <w:rPr>
                <w:sz w:val="20"/>
                <w:szCs w:val="20"/>
              </w:rPr>
            </w:pPr>
            <w:r>
              <w:rPr>
                <w:sz w:val="20"/>
                <w:szCs w:val="20"/>
              </w:rPr>
              <w:t>Gold Band Finance Limited</w:t>
            </w:r>
          </w:p>
          <w:bookmarkEnd w:id="0"/>
          <w:p w:rsidR="00CD15CE" w:rsidRPr="00D75DEB" w:rsidRDefault="00CD15CE" w:rsidP="00423587">
            <w:pPr>
              <w:pStyle w:val="NoSpacing"/>
              <w:rPr>
                <w:sz w:val="8"/>
                <w:szCs w:val="8"/>
              </w:rPr>
            </w:pPr>
          </w:p>
          <w:p w:rsidR="00CD15CE" w:rsidRPr="00D75DEB" w:rsidRDefault="00CD15CE" w:rsidP="00423587">
            <w:pPr>
              <w:pStyle w:val="NoSpacing"/>
              <w:rPr>
                <w:sz w:val="8"/>
                <w:szCs w:val="8"/>
              </w:rPr>
            </w:pPr>
          </w:p>
          <w:p w:rsidR="00CD15CE" w:rsidRPr="001C121E" w:rsidRDefault="00CD15CE" w:rsidP="00423587">
            <w:pPr>
              <w:pStyle w:val="NoSpacing"/>
              <w:rPr>
                <w:sz w:val="20"/>
                <w:szCs w:val="20"/>
              </w:rPr>
            </w:pPr>
          </w:p>
          <w:p w:rsidR="00CD15CE" w:rsidRPr="00D75DEB" w:rsidRDefault="00CD15CE" w:rsidP="00423587">
            <w:pPr>
              <w:pStyle w:val="NoSpacing"/>
              <w:rPr>
                <w:sz w:val="8"/>
                <w:szCs w:val="8"/>
              </w:rPr>
            </w:pPr>
          </w:p>
          <w:p w:rsidR="00CD15CE" w:rsidRPr="00D75DEB" w:rsidRDefault="00CD15CE" w:rsidP="00423587">
            <w:pPr>
              <w:pStyle w:val="NoSpacing"/>
              <w:rPr>
                <w:sz w:val="20"/>
                <w:szCs w:val="20"/>
              </w:rPr>
            </w:pPr>
          </w:p>
        </w:tc>
        <w:tc>
          <w:tcPr>
            <w:tcW w:w="3060" w:type="dxa"/>
          </w:tcPr>
          <w:p w:rsidR="00CD15CE" w:rsidRPr="00CA0ACC" w:rsidRDefault="00CD15CE" w:rsidP="00423587">
            <w:pPr>
              <w:pStyle w:val="NoSpacing"/>
              <w:rPr>
                <w:sz w:val="10"/>
                <w:szCs w:val="10"/>
              </w:rPr>
            </w:pPr>
          </w:p>
          <w:p w:rsidR="00CD15CE" w:rsidRDefault="00CD15CE" w:rsidP="00423587">
            <w:pPr>
              <w:pStyle w:val="NoSpacing"/>
              <w:rPr>
                <w:sz w:val="20"/>
                <w:szCs w:val="20"/>
              </w:rPr>
            </w:pPr>
            <w:r w:rsidRPr="007D71D6">
              <w:rPr>
                <w:sz w:val="20"/>
                <w:szCs w:val="20"/>
              </w:rPr>
              <w:t>BMW Financial Services</w:t>
            </w:r>
          </w:p>
          <w:p w:rsidR="00CD15CE" w:rsidRPr="007D71D6" w:rsidRDefault="00CD15CE" w:rsidP="00423587">
            <w:pPr>
              <w:pStyle w:val="NoSpacing"/>
              <w:rPr>
                <w:sz w:val="10"/>
                <w:szCs w:val="10"/>
              </w:rPr>
            </w:pPr>
          </w:p>
          <w:p w:rsidR="00CD15CE" w:rsidRDefault="00CD15CE" w:rsidP="00423587">
            <w:pPr>
              <w:pStyle w:val="NoSpacing"/>
              <w:rPr>
                <w:sz w:val="20"/>
                <w:szCs w:val="20"/>
              </w:rPr>
            </w:pPr>
            <w:r>
              <w:rPr>
                <w:sz w:val="20"/>
                <w:szCs w:val="20"/>
              </w:rPr>
              <w:t>Branded Financial Services</w:t>
            </w:r>
          </w:p>
          <w:p w:rsidR="00CD15CE" w:rsidRPr="007D71D6" w:rsidRDefault="00CD15CE" w:rsidP="00423587">
            <w:pPr>
              <w:pStyle w:val="NoSpacing"/>
              <w:rPr>
                <w:sz w:val="10"/>
                <w:szCs w:val="10"/>
              </w:rPr>
            </w:pPr>
          </w:p>
          <w:p w:rsidR="00CD15CE" w:rsidRDefault="00CD15CE" w:rsidP="00423587">
            <w:pPr>
              <w:pStyle w:val="NoSpacing"/>
              <w:rPr>
                <w:sz w:val="20"/>
                <w:szCs w:val="20"/>
              </w:rPr>
            </w:pPr>
            <w:r>
              <w:rPr>
                <w:sz w:val="20"/>
                <w:szCs w:val="20"/>
              </w:rPr>
              <w:t xml:space="preserve">Community Financial Services </w:t>
            </w:r>
          </w:p>
          <w:p w:rsidR="00CD15CE" w:rsidRPr="009108EE" w:rsidRDefault="00CD15CE" w:rsidP="00423587">
            <w:pPr>
              <w:pStyle w:val="NoSpacing"/>
              <w:rPr>
                <w:sz w:val="10"/>
                <w:szCs w:val="10"/>
              </w:rPr>
            </w:pPr>
          </w:p>
          <w:p w:rsidR="00CD15CE" w:rsidRPr="00D75DEB" w:rsidRDefault="00CD15CE" w:rsidP="00423587">
            <w:pPr>
              <w:pStyle w:val="NoSpacing"/>
              <w:rPr>
                <w:sz w:val="20"/>
                <w:szCs w:val="20"/>
              </w:rPr>
            </w:pPr>
            <w:r>
              <w:rPr>
                <w:sz w:val="20"/>
                <w:szCs w:val="20"/>
              </w:rPr>
              <w:t>Go Cars Finance Ltd</w:t>
            </w:r>
          </w:p>
          <w:p w:rsidR="00CD15CE" w:rsidRPr="007D71D6" w:rsidRDefault="00CD15CE" w:rsidP="00423587">
            <w:pPr>
              <w:pStyle w:val="NoSpacing"/>
              <w:rPr>
                <w:sz w:val="10"/>
                <w:szCs w:val="10"/>
              </w:rPr>
            </w:pPr>
          </w:p>
          <w:p w:rsidR="00CD15CE" w:rsidRDefault="00CD15CE" w:rsidP="00423587">
            <w:pPr>
              <w:pStyle w:val="NoSpacing"/>
              <w:rPr>
                <w:sz w:val="20"/>
                <w:szCs w:val="20"/>
              </w:rPr>
            </w:pPr>
            <w:r w:rsidRPr="00D75DEB">
              <w:rPr>
                <w:sz w:val="20"/>
                <w:szCs w:val="20"/>
              </w:rPr>
              <w:t>European Financial Services</w:t>
            </w:r>
          </w:p>
          <w:p w:rsidR="00CD15CE" w:rsidRPr="009108EE" w:rsidRDefault="00CD15CE" w:rsidP="00423587">
            <w:pPr>
              <w:pStyle w:val="NoSpacing"/>
              <w:rPr>
                <w:sz w:val="10"/>
                <w:szCs w:val="10"/>
              </w:rPr>
            </w:pPr>
          </w:p>
          <w:p w:rsidR="00CD15CE" w:rsidRDefault="00CD15CE" w:rsidP="00423587">
            <w:pPr>
              <w:pStyle w:val="NoSpacing"/>
              <w:rPr>
                <w:sz w:val="20"/>
                <w:szCs w:val="20"/>
              </w:rPr>
            </w:pPr>
            <w:r>
              <w:rPr>
                <w:sz w:val="20"/>
                <w:szCs w:val="20"/>
              </w:rPr>
              <w:t>Honda Financial Services Ltd</w:t>
            </w:r>
          </w:p>
          <w:p w:rsidR="00CD15CE" w:rsidRPr="007D71D6" w:rsidRDefault="00CD15CE" w:rsidP="00423587">
            <w:pPr>
              <w:pStyle w:val="NoSpacing"/>
              <w:rPr>
                <w:sz w:val="10"/>
                <w:szCs w:val="10"/>
              </w:rPr>
            </w:pPr>
          </w:p>
          <w:p w:rsidR="00CD15CE" w:rsidRPr="00D75DEB" w:rsidRDefault="00CD15CE" w:rsidP="00423587">
            <w:pPr>
              <w:pStyle w:val="NoSpacing"/>
              <w:rPr>
                <w:sz w:val="20"/>
                <w:szCs w:val="20"/>
              </w:rPr>
            </w:pPr>
            <w:r w:rsidRPr="00D75DEB">
              <w:rPr>
                <w:sz w:val="20"/>
                <w:szCs w:val="20"/>
              </w:rPr>
              <w:t>Mercedes-Benz Financial Services</w:t>
            </w:r>
          </w:p>
          <w:p w:rsidR="00CD15CE" w:rsidRPr="007D71D6" w:rsidRDefault="00CD15CE" w:rsidP="00423587">
            <w:pPr>
              <w:pStyle w:val="NoSpacing"/>
              <w:rPr>
                <w:sz w:val="10"/>
                <w:szCs w:val="10"/>
              </w:rPr>
            </w:pPr>
          </w:p>
          <w:p w:rsidR="00CD15CE" w:rsidRDefault="00CD15CE" w:rsidP="00423587">
            <w:pPr>
              <w:pStyle w:val="NoSpacing"/>
              <w:rPr>
                <w:sz w:val="20"/>
                <w:szCs w:val="20"/>
              </w:rPr>
            </w:pPr>
            <w:r>
              <w:rPr>
                <w:sz w:val="20"/>
                <w:szCs w:val="20"/>
              </w:rPr>
              <w:t>Motor Trade Finance</w:t>
            </w:r>
          </w:p>
          <w:p w:rsidR="00CD15CE" w:rsidRPr="009F28CA" w:rsidRDefault="00CD15CE" w:rsidP="00423587">
            <w:pPr>
              <w:pStyle w:val="NoSpacing"/>
              <w:rPr>
                <w:sz w:val="10"/>
                <w:szCs w:val="10"/>
              </w:rPr>
            </w:pPr>
          </w:p>
          <w:p w:rsidR="00CD15CE" w:rsidRDefault="00CD15CE" w:rsidP="00423587">
            <w:pPr>
              <w:pStyle w:val="NoSpacing"/>
              <w:rPr>
                <w:sz w:val="20"/>
                <w:szCs w:val="20"/>
              </w:rPr>
            </w:pPr>
            <w:r>
              <w:rPr>
                <w:sz w:val="20"/>
                <w:szCs w:val="20"/>
              </w:rPr>
              <w:t>Nissan Financial Services NZ Ltd</w:t>
            </w:r>
          </w:p>
          <w:p w:rsidR="00CD15CE" w:rsidRPr="009F28CA" w:rsidRDefault="00CD15CE" w:rsidP="00423587">
            <w:pPr>
              <w:pStyle w:val="NoSpacing"/>
              <w:rPr>
                <w:sz w:val="10"/>
                <w:szCs w:val="10"/>
              </w:rPr>
            </w:pPr>
          </w:p>
          <w:p w:rsidR="00CD15CE" w:rsidRDefault="00CD15CE" w:rsidP="00423587">
            <w:pPr>
              <w:pStyle w:val="NoSpacing"/>
              <w:rPr>
                <w:sz w:val="20"/>
                <w:szCs w:val="20"/>
              </w:rPr>
            </w:pPr>
            <w:r>
              <w:rPr>
                <w:sz w:val="20"/>
                <w:szCs w:val="20"/>
              </w:rPr>
              <w:t>Onyx Finance Limited</w:t>
            </w:r>
          </w:p>
          <w:p w:rsidR="00CD15CE" w:rsidRPr="009F28CA" w:rsidRDefault="00CD15CE" w:rsidP="00423587">
            <w:pPr>
              <w:pStyle w:val="NoSpacing"/>
              <w:rPr>
                <w:sz w:val="10"/>
                <w:szCs w:val="10"/>
              </w:rPr>
            </w:pPr>
          </w:p>
          <w:p w:rsidR="00CD15CE" w:rsidRPr="00D75DEB" w:rsidRDefault="00CD15CE" w:rsidP="00423587">
            <w:pPr>
              <w:pStyle w:val="NoSpacing"/>
              <w:rPr>
                <w:sz w:val="20"/>
                <w:szCs w:val="20"/>
              </w:rPr>
            </w:pPr>
            <w:r w:rsidRPr="00D75DEB">
              <w:rPr>
                <w:sz w:val="20"/>
                <w:szCs w:val="20"/>
              </w:rPr>
              <w:t>Toyota Finance NZ</w:t>
            </w:r>
          </w:p>
          <w:p w:rsidR="00CD15CE" w:rsidRPr="007D71D6" w:rsidRDefault="00CD15CE" w:rsidP="00423587">
            <w:pPr>
              <w:pStyle w:val="NoSpacing"/>
              <w:rPr>
                <w:sz w:val="10"/>
                <w:szCs w:val="10"/>
              </w:rPr>
            </w:pPr>
          </w:p>
          <w:p w:rsidR="00CD15CE" w:rsidRDefault="00CD15CE" w:rsidP="00423587">
            <w:pPr>
              <w:pStyle w:val="NoSpacing"/>
              <w:rPr>
                <w:sz w:val="20"/>
                <w:szCs w:val="20"/>
              </w:rPr>
            </w:pPr>
            <w:r w:rsidRPr="00D75DEB">
              <w:rPr>
                <w:sz w:val="20"/>
                <w:szCs w:val="20"/>
              </w:rPr>
              <w:t xml:space="preserve">Yamaha Motor Finance </w:t>
            </w:r>
          </w:p>
          <w:p w:rsidR="00CD15CE" w:rsidRPr="009108EE" w:rsidRDefault="00CD15CE" w:rsidP="00423587">
            <w:pPr>
              <w:pStyle w:val="NoSpacing"/>
              <w:rPr>
                <w:sz w:val="20"/>
                <w:szCs w:val="20"/>
              </w:rPr>
            </w:pPr>
          </w:p>
          <w:p w:rsidR="00CD15CE" w:rsidRDefault="00CD15CE" w:rsidP="00423587">
            <w:pPr>
              <w:pStyle w:val="NoSpacing"/>
              <w:rPr>
                <w:sz w:val="20"/>
                <w:szCs w:val="20"/>
                <w:u w:val="single"/>
              </w:rPr>
            </w:pPr>
            <w:r>
              <w:rPr>
                <w:sz w:val="20"/>
                <w:szCs w:val="20"/>
                <w:u w:val="single"/>
              </w:rPr>
              <w:t>Leasing Providers</w:t>
            </w:r>
          </w:p>
          <w:p w:rsidR="00CD15CE" w:rsidRPr="007D71D6" w:rsidRDefault="00CD15CE" w:rsidP="00423587">
            <w:pPr>
              <w:pStyle w:val="NoSpacing"/>
              <w:rPr>
                <w:sz w:val="20"/>
                <w:szCs w:val="20"/>
                <w:u w:val="single"/>
              </w:rPr>
            </w:pPr>
          </w:p>
          <w:p w:rsidR="00CD15CE" w:rsidRDefault="00CD15CE" w:rsidP="00423587">
            <w:pPr>
              <w:pStyle w:val="NoSpacing"/>
              <w:rPr>
                <w:sz w:val="20"/>
                <w:szCs w:val="20"/>
              </w:rPr>
            </w:pPr>
            <w:bookmarkStart w:id="1" w:name="OLE_LINK2"/>
            <w:r>
              <w:rPr>
                <w:sz w:val="20"/>
                <w:szCs w:val="20"/>
              </w:rPr>
              <w:t>Custom Fleet</w:t>
            </w:r>
          </w:p>
          <w:p w:rsidR="00CD15CE" w:rsidRPr="00AE1DC4" w:rsidRDefault="00CD15CE" w:rsidP="00423587">
            <w:pPr>
              <w:pStyle w:val="NoSpacing"/>
              <w:rPr>
                <w:sz w:val="10"/>
                <w:szCs w:val="10"/>
              </w:rPr>
            </w:pPr>
          </w:p>
          <w:p w:rsidR="00CD15CE" w:rsidRDefault="00CD15CE" w:rsidP="00423587">
            <w:pPr>
              <w:pStyle w:val="NoSpacing"/>
              <w:rPr>
                <w:sz w:val="20"/>
                <w:szCs w:val="20"/>
              </w:rPr>
            </w:pPr>
            <w:r>
              <w:rPr>
                <w:sz w:val="20"/>
                <w:szCs w:val="20"/>
              </w:rPr>
              <w:t>Fleet Partners NZ Ltd</w:t>
            </w:r>
          </w:p>
          <w:p w:rsidR="00CD15CE" w:rsidRPr="00AE1DC4" w:rsidRDefault="00CD15CE" w:rsidP="00423587">
            <w:pPr>
              <w:pStyle w:val="NoSpacing"/>
              <w:rPr>
                <w:sz w:val="10"/>
                <w:szCs w:val="10"/>
              </w:rPr>
            </w:pPr>
          </w:p>
          <w:p w:rsidR="00CD15CE" w:rsidRDefault="00CD15CE" w:rsidP="00423587">
            <w:pPr>
              <w:pStyle w:val="NoSpacing"/>
              <w:rPr>
                <w:sz w:val="20"/>
                <w:szCs w:val="20"/>
              </w:rPr>
            </w:pPr>
            <w:r w:rsidRPr="00D75DEB">
              <w:rPr>
                <w:sz w:val="20"/>
                <w:szCs w:val="20"/>
              </w:rPr>
              <w:t>ORIX NZ</w:t>
            </w:r>
          </w:p>
          <w:p w:rsidR="00CD15CE" w:rsidRPr="00AE1DC4" w:rsidRDefault="00CD15CE" w:rsidP="00423587">
            <w:pPr>
              <w:pStyle w:val="NoSpacing"/>
              <w:rPr>
                <w:sz w:val="10"/>
                <w:szCs w:val="10"/>
              </w:rPr>
            </w:pPr>
          </w:p>
          <w:p w:rsidR="00CD15CE" w:rsidRDefault="00CD15CE" w:rsidP="00423587">
            <w:pPr>
              <w:pStyle w:val="NoSpacing"/>
              <w:rPr>
                <w:sz w:val="20"/>
                <w:szCs w:val="20"/>
              </w:rPr>
            </w:pPr>
            <w:r w:rsidRPr="00D75DEB">
              <w:rPr>
                <w:sz w:val="20"/>
                <w:szCs w:val="20"/>
              </w:rPr>
              <w:t>SG Fleet</w:t>
            </w:r>
          </w:p>
          <w:p w:rsidR="00CD15CE" w:rsidRPr="009108EE" w:rsidRDefault="00CD15CE" w:rsidP="00423587">
            <w:pPr>
              <w:pStyle w:val="NoSpacing"/>
              <w:rPr>
                <w:sz w:val="10"/>
                <w:szCs w:val="10"/>
              </w:rPr>
            </w:pPr>
          </w:p>
          <w:p w:rsidR="00CD15CE" w:rsidRPr="00D75DEB" w:rsidRDefault="00CD15CE" w:rsidP="00423587">
            <w:pPr>
              <w:pStyle w:val="NoSpacing"/>
              <w:rPr>
                <w:sz w:val="20"/>
                <w:szCs w:val="20"/>
              </w:rPr>
            </w:pPr>
            <w:r>
              <w:rPr>
                <w:sz w:val="20"/>
                <w:szCs w:val="20"/>
              </w:rPr>
              <w:t>Lease Plan</w:t>
            </w:r>
            <w:bookmarkEnd w:id="1"/>
          </w:p>
        </w:tc>
        <w:tc>
          <w:tcPr>
            <w:tcW w:w="2517" w:type="dxa"/>
          </w:tcPr>
          <w:p w:rsidR="00CD15CE" w:rsidRPr="009108EE" w:rsidRDefault="00CD15CE" w:rsidP="00423587">
            <w:pPr>
              <w:pStyle w:val="NoSpacing"/>
              <w:rPr>
                <w:sz w:val="10"/>
                <w:szCs w:val="10"/>
              </w:rPr>
            </w:pPr>
          </w:p>
          <w:p w:rsidR="00CD15CE" w:rsidRPr="007D71D6" w:rsidRDefault="00CD15CE" w:rsidP="00423587">
            <w:pPr>
              <w:pStyle w:val="NoSpacing"/>
              <w:rPr>
                <w:sz w:val="20"/>
                <w:szCs w:val="20"/>
              </w:rPr>
            </w:pPr>
            <w:r>
              <w:rPr>
                <w:sz w:val="20"/>
                <w:szCs w:val="20"/>
              </w:rPr>
              <w:t xml:space="preserve">L &amp; F Holdings (Trading as </w:t>
            </w:r>
            <w:proofErr w:type="spellStart"/>
            <w:r w:rsidRPr="007D71D6">
              <w:rPr>
                <w:sz w:val="20"/>
                <w:szCs w:val="20"/>
              </w:rPr>
              <w:t>Advaro</w:t>
            </w:r>
            <w:proofErr w:type="spellEnd"/>
            <w:r w:rsidRPr="007D71D6">
              <w:rPr>
                <w:sz w:val="20"/>
                <w:szCs w:val="20"/>
              </w:rPr>
              <w:t xml:space="preserve"> Limited</w:t>
            </w:r>
            <w:r>
              <w:rPr>
                <w:sz w:val="20"/>
                <w:szCs w:val="20"/>
              </w:rPr>
              <w:t>)</w:t>
            </w:r>
          </w:p>
          <w:p w:rsidR="00CD15CE" w:rsidRPr="007D71D6" w:rsidRDefault="00CD15CE" w:rsidP="00423587">
            <w:pPr>
              <w:pStyle w:val="NoSpacing"/>
              <w:rPr>
                <w:sz w:val="10"/>
                <w:szCs w:val="10"/>
              </w:rPr>
            </w:pPr>
          </w:p>
          <w:p w:rsidR="00CD15CE" w:rsidRDefault="00CD15CE" w:rsidP="00423587">
            <w:pPr>
              <w:pStyle w:val="NoSpacing"/>
              <w:rPr>
                <w:sz w:val="20"/>
                <w:szCs w:val="20"/>
              </w:rPr>
            </w:pPr>
            <w:r>
              <w:rPr>
                <w:sz w:val="20"/>
                <w:szCs w:val="20"/>
              </w:rPr>
              <w:t xml:space="preserve">Avanti Finance </w:t>
            </w:r>
          </w:p>
          <w:p w:rsidR="00CD15CE" w:rsidRPr="009108EE" w:rsidRDefault="00CD15CE" w:rsidP="00423587">
            <w:pPr>
              <w:pStyle w:val="NoSpacing"/>
              <w:rPr>
                <w:sz w:val="10"/>
                <w:szCs w:val="10"/>
              </w:rPr>
            </w:pPr>
          </w:p>
          <w:p w:rsidR="00CD15CE" w:rsidRDefault="00CD15CE" w:rsidP="00423587">
            <w:pPr>
              <w:pStyle w:val="NoSpacing"/>
              <w:rPr>
                <w:sz w:val="20"/>
                <w:szCs w:val="20"/>
              </w:rPr>
            </w:pPr>
            <w:r>
              <w:rPr>
                <w:sz w:val="20"/>
                <w:szCs w:val="20"/>
              </w:rPr>
              <w:t>Caterpillar Financial Services NZ Ltd</w:t>
            </w:r>
          </w:p>
          <w:p w:rsidR="00CD15CE" w:rsidRPr="007D71D6" w:rsidRDefault="00CD15CE" w:rsidP="00423587">
            <w:pPr>
              <w:pStyle w:val="NoSpacing"/>
              <w:rPr>
                <w:sz w:val="10"/>
                <w:szCs w:val="10"/>
              </w:rPr>
            </w:pPr>
          </w:p>
          <w:p w:rsidR="00CD15CE" w:rsidRPr="00D75DEB" w:rsidRDefault="00CD15CE" w:rsidP="00423587">
            <w:pPr>
              <w:pStyle w:val="NoSpacing"/>
              <w:rPr>
                <w:sz w:val="20"/>
                <w:szCs w:val="20"/>
              </w:rPr>
            </w:pPr>
            <w:proofErr w:type="spellStart"/>
            <w:r w:rsidRPr="00D75DEB">
              <w:rPr>
                <w:sz w:val="20"/>
                <w:szCs w:val="20"/>
              </w:rPr>
              <w:t>Centracorp</w:t>
            </w:r>
            <w:proofErr w:type="spellEnd"/>
            <w:r w:rsidRPr="00D75DEB">
              <w:rPr>
                <w:sz w:val="20"/>
                <w:szCs w:val="20"/>
              </w:rPr>
              <w:t xml:space="preserve"> Finance 2000</w:t>
            </w:r>
          </w:p>
          <w:p w:rsidR="00CD15CE" w:rsidRPr="007D71D6" w:rsidRDefault="00CD15CE" w:rsidP="00423587">
            <w:pPr>
              <w:pStyle w:val="NoSpacing"/>
              <w:rPr>
                <w:sz w:val="10"/>
                <w:szCs w:val="10"/>
              </w:rPr>
            </w:pPr>
          </w:p>
          <w:p w:rsidR="00CD15CE" w:rsidRPr="00D75DEB" w:rsidRDefault="00CD15CE" w:rsidP="00423587">
            <w:pPr>
              <w:pStyle w:val="NoSpacing"/>
              <w:rPr>
                <w:sz w:val="20"/>
                <w:szCs w:val="20"/>
              </w:rPr>
            </w:pPr>
            <w:r w:rsidRPr="00D75DEB">
              <w:rPr>
                <w:sz w:val="20"/>
                <w:szCs w:val="20"/>
              </w:rPr>
              <w:t>Finance Now</w:t>
            </w:r>
          </w:p>
          <w:p w:rsidR="00CD15CE" w:rsidRPr="007D71D6" w:rsidRDefault="00CD15CE" w:rsidP="00423587">
            <w:pPr>
              <w:pStyle w:val="NoSpacing"/>
              <w:rPr>
                <w:sz w:val="10"/>
                <w:szCs w:val="10"/>
              </w:rPr>
            </w:pPr>
          </w:p>
          <w:p w:rsidR="00CD15CE" w:rsidRPr="00CA0ACC" w:rsidRDefault="00CD15CE" w:rsidP="00423587">
            <w:pPr>
              <w:pStyle w:val="NoSpacing"/>
              <w:rPr>
                <w:sz w:val="20"/>
                <w:szCs w:val="20"/>
              </w:rPr>
            </w:pPr>
            <w:r w:rsidRPr="00D75DEB">
              <w:rPr>
                <w:sz w:val="20"/>
                <w:szCs w:val="20"/>
              </w:rPr>
              <w:t>Future Finance</w:t>
            </w:r>
          </w:p>
          <w:p w:rsidR="00CD15CE" w:rsidRPr="007D71D6" w:rsidRDefault="00CD15CE" w:rsidP="00423587">
            <w:pPr>
              <w:pStyle w:val="NoSpacing"/>
              <w:rPr>
                <w:sz w:val="10"/>
                <w:szCs w:val="10"/>
              </w:rPr>
            </w:pPr>
          </w:p>
          <w:p w:rsidR="00CD15CE" w:rsidRDefault="00CD15CE" w:rsidP="00423587">
            <w:pPr>
              <w:pStyle w:val="NoSpacing"/>
              <w:rPr>
                <w:sz w:val="20"/>
                <w:szCs w:val="20"/>
              </w:rPr>
            </w:pPr>
            <w:r>
              <w:rPr>
                <w:sz w:val="20"/>
                <w:szCs w:val="20"/>
              </w:rPr>
              <w:t>Geneva Finance</w:t>
            </w:r>
          </w:p>
          <w:p w:rsidR="00CD15CE" w:rsidRPr="007D71D6" w:rsidRDefault="00CD15CE" w:rsidP="00423587">
            <w:pPr>
              <w:pStyle w:val="NoSpacing"/>
              <w:rPr>
                <w:sz w:val="10"/>
                <w:szCs w:val="10"/>
              </w:rPr>
            </w:pPr>
          </w:p>
          <w:p w:rsidR="00CD15CE" w:rsidRPr="00D75DEB" w:rsidRDefault="00CD15CE" w:rsidP="00423587">
            <w:pPr>
              <w:pStyle w:val="NoSpacing"/>
              <w:rPr>
                <w:sz w:val="20"/>
                <w:szCs w:val="20"/>
              </w:rPr>
            </w:pPr>
            <w:r>
              <w:rPr>
                <w:sz w:val="20"/>
                <w:szCs w:val="20"/>
              </w:rPr>
              <w:t>Home Direct</w:t>
            </w:r>
          </w:p>
          <w:p w:rsidR="00CD15CE" w:rsidRPr="007D71D6" w:rsidRDefault="00CD15CE" w:rsidP="00423587">
            <w:pPr>
              <w:pStyle w:val="NoSpacing"/>
              <w:rPr>
                <w:sz w:val="10"/>
                <w:szCs w:val="10"/>
              </w:rPr>
            </w:pPr>
          </w:p>
          <w:p w:rsidR="00CD15CE" w:rsidRPr="00D75DEB" w:rsidRDefault="00CD15CE" w:rsidP="00423587">
            <w:pPr>
              <w:pStyle w:val="NoSpacing"/>
              <w:rPr>
                <w:sz w:val="20"/>
                <w:szCs w:val="20"/>
              </w:rPr>
            </w:pPr>
            <w:r w:rsidRPr="00D75DEB">
              <w:rPr>
                <w:sz w:val="20"/>
                <w:szCs w:val="20"/>
              </w:rPr>
              <w:t>Instant Finance</w:t>
            </w:r>
          </w:p>
          <w:p w:rsidR="00CD15CE" w:rsidRPr="007D71D6" w:rsidRDefault="00CD15CE" w:rsidP="00423587">
            <w:pPr>
              <w:pStyle w:val="NoSpacing"/>
              <w:rPr>
                <w:sz w:val="10"/>
                <w:szCs w:val="10"/>
              </w:rPr>
            </w:pPr>
          </w:p>
          <w:p w:rsidR="00CD15CE" w:rsidRDefault="00CD15CE" w:rsidP="00423587">
            <w:pPr>
              <w:pStyle w:val="NoSpacing"/>
              <w:rPr>
                <w:sz w:val="20"/>
                <w:szCs w:val="20"/>
              </w:rPr>
            </w:pPr>
            <w:r w:rsidRPr="00D75DEB">
              <w:rPr>
                <w:sz w:val="20"/>
                <w:szCs w:val="20"/>
              </w:rPr>
              <w:t xml:space="preserve">John Deere Financial </w:t>
            </w:r>
          </w:p>
          <w:p w:rsidR="00CD15CE" w:rsidRPr="00CA0ACC" w:rsidRDefault="00CD15CE" w:rsidP="00423587">
            <w:pPr>
              <w:pStyle w:val="NoSpacing"/>
              <w:rPr>
                <w:sz w:val="20"/>
                <w:szCs w:val="20"/>
              </w:rPr>
            </w:pPr>
          </w:p>
          <w:p w:rsidR="00CD15CE" w:rsidRDefault="00CD15CE" w:rsidP="00423587">
            <w:pPr>
              <w:pStyle w:val="NoSpacing"/>
              <w:rPr>
                <w:sz w:val="20"/>
                <w:szCs w:val="20"/>
              </w:rPr>
            </w:pPr>
            <w:r>
              <w:rPr>
                <w:sz w:val="20"/>
                <w:szCs w:val="20"/>
              </w:rPr>
              <w:t>Latitude Financial</w:t>
            </w:r>
          </w:p>
          <w:p w:rsidR="00CD15CE" w:rsidRPr="007D71D6" w:rsidRDefault="00CD15CE" w:rsidP="00423587">
            <w:pPr>
              <w:pStyle w:val="NoSpacing"/>
              <w:rPr>
                <w:sz w:val="10"/>
                <w:szCs w:val="10"/>
              </w:rPr>
            </w:pPr>
          </w:p>
          <w:p w:rsidR="00CD15CE" w:rsidRPr="00D75DEB" w:rsidRDefault="00CD15CE" w:rsidP="00423587">
            <w:pPr>
              <w:pStyle w:val="NoSpacing"/>
              <w:rPr>
                <w:sz w:val="20"/>
                <w:szCs w:val="20"/>
              </w:rPr>
            </w:pPr>
            <w:r>
              <w:rPr>
                <w:sz w:val="20"/>
                <w:szCs w:val="20"/>
              </w:rPr>
              <w:t>Pioneer Finance Ltd</w:t>
            </w:r>
          </w:p>
          <w:p w:rsidR="00CD15CE" w:rsidRPr="008809F4" w:rsidRDefault="00CD15CE" w:rsidP="00423587">
            <w:pPr>
              <w:pStyle w:val="NoSpacing"/>
              <w:rPr>
                <w:sz w:val="10"/>
                <w:szCs w:val="10"/>
              </w:rPr>
            </w:pPr>
          </w:p>
          <w:p w:rsidR="00CD15CE" w:rsidRDefault="00CD15CE" w:rsidP="00423587">
            <w:pPr>
              <w:pStyle w:val="NoSpacing"/>
              <w:rPr>
                <w:sz w:val="20"/>
                <w:szCs w:val="20"/>
              </w:rPr>
            </w:pPr>
            <w:r w:rsidRPr="008809F4">
              <w:rPr>
                <w:sz w:val="20"/>
                <w:szCs w:val="20"/>
              </w:rPr>
              <w:t xml:space="preserve">South </w:t>
            </w:r>
            <w:proofErr w:type="gramStart"/>
            <w:r w:rsidRPr="008809F4">
              <w:rPr>
                <w:sz w:val="20"/>
                <w:szCs w:val="20"/>
              </w:rPr>
              <w:t>Pacific  Loans</w:t>
            </w:r>
            <w:proofErr w:type="gramEnd"/>
          </w:p>
          <w:p w:rsidR="00CD15CE" w:rsidRPr="007D71D6" w:rsidRDefault="00CD15CE" w:rsidP="00423587">
            <w:pPr>
              <w:pStyle w:val="NoSpacing"/>
              <w:rPr>
                <w:sz w:val="10"/>
                <w:szCs w:val="10"/>
              </w:rPr>
            </w:pPr>
          </w:p>
          <w:p w:rsidR="00CD15CE" w:rsidRDefault="00CD15CE" w:rsidP="00423587">
            <w:pPr>
              <w:pStyle w:val="NoSpacing"/>
              <w:rPr>
                <w:sz w:val="20"/>
                <w:szCs w:val="20"/>
              </w:rPr>
            </w:pPr>
            <w:r>
              <w:rPr>
                <w:sz w:val="20"/>
                <w:szCs w:val="20"/>
              </w:rPr>
              <w:t>The Warehouse Financial Services Group</w:t>
            </w:r>
          </w:p>
          <w:p w:rsidR="00CD15CE" w:rsidRPr="007D71D6" w:rsidRDefault="00CD15CE" w:rsidP="00423587">
            <w:pPr>
              <w:pStyle w:val="NoSpacing"/>
              <w:rPr>
                <w:sz w:val="10"/>
                <w:szCs w:val="10"/>
              </w:rPr>
            </w:pPr>
          </w:p>
          <w:p w:rsidR="00CD15CE" w:rsidRDefault="00CD15CE" w:rsidP="00423587">
            <w:pPr>
              <w:pStyle w:val="NoSpacing"/>
              <w:rPr>
                <w:sz w:val="20"/>
                <w:szCs w:val="20"/>
              </w:rPr>
            </w:pPr>
            <w:r w:rsidRPr="00D75DEB">
              <w:rPr>
                <w:sz w:val="20"/>
                <w:szCs w:val="20"/>
              </w:rPr>
              <w:t xml:space="preserve">Thorn </w:t>
            </w:r>
            <w:r>
              <w:rPr>
                <w:sz w:val="20"/>
                <w:szCs w:val="20"/>
              </w:rPr>
              <w:t>Group Financial Services Ltd</w:t>
            </w:r>
          </w:p>
          <w:p w:rsidR="00CD15CE" w:rsidRPr="00E3166A" w:rsidRDefault="00CD15CE" w:rsidP="00423587">
            <w:pPr>
              <w:pStyle w:val="NoSpacing"/>
              <w:rPr>
                <w:sz w:val="10"/>
                <w:szCs w:val="10"/>
              </w:rPr>
            </w:pPr>
          </w:p>
          <w:p w:rsidR="00CD15CE" w:rsidRDefault="00CD15CE" w:rsidP="00423587">
            <w:pPr>
              <w:pStyle w:val="NoSpacing"/>
              <w:rPr>
                <w:sz w:val="20"/>
                <w:szCs w:val="20"/>
              </w:rPr>
            </w:pPr>
            <w:r>
              <w:rPr>
                <w:sz w:val="20"/>
                <w:szCs w:val="20"/>
              </w:rPr>
              <w:t>Turners Finance Limited</w:t>
            </w:r>
          </w:p>
          <w:p w:rsidR="00CD15CE" w:rsidRPr="007D71D6" w:rsidRDefault="00CD15CE" w:rsidP="00423587">
            <w:pPr>
              <w:pStyle w:val="NoSpacing"/>
              <w:rPr>
                <w:sz w:val="10"/>
                <w:szCs w:val="10"/>
              </w:rPr>
            </w:pPr>
          </w:p>
          <w:p w:rsidR="00CD15CE" w:rsidRDefault="00CD15CE" w:rsidP="00423587">
            <w:pPr>
              <w:pStyle w:val="NoSpacing"/>
              <w:rPr>
                <w:sz w:val="20"/>
                <w:szCs w:val="20"/>
              </w:rPr>
            </w:pPr>
          </w:p>
          <w:p w:rsidR="00CD15CE" w:rsidRPr="008809F4" w:rsidRDefault="00CD15CE" w:rsidP="00423587">
            <w:pPr>
              <w:pStyle w:val="NoSpacing"/>
              <w:rPr>
                <w:sz w:val="20"/>
                <w:szCs w:val="20"/>
              </w:rPr>
            </w:pPr>
          </w:p>
        </w:tc>
        <w:tc>
          <w:tcPr>
            <w:tcW w:w="2266" w:type="dxa"/>
          </w:tcPr>
          <w:p w:rsidR="00CD15CE" w:rsidRPr="00D75DEB" w:rsidRDefault="00CD15CE" w:rsidP="00423587">
            <w:pPr>
              <w:pStyle w:val="NoSpacing"/>
              <w:rPr>
                <w:sz w:val="20"/>
                <w:szCs w:val="20"/>
              </w:rPr>
            </w:pPr>
          </w:p>
          <w:p w:rsidR="00CD15CE" w:rsidRDefault="00CD15CE" w:rsidP="00423587">
            <w:pPr>
              <w:pStyle w:val="NoSpacing"/>
              <w:rPr>
                <w:sz w:val="20"/>
                <w:szCs w:val="20"/>
              </w:rPr>
            </w:pPr>
            <w:r>
              <w:rPr>
                <w:sz w:val="20"/>
                <w:szCs w:val="20"/>
              </w:rPr>
              <w:t>Equifax</w:t>
            </w:r>
          </w:p>
          <w:p w:rsidR="00CD15CE" w:rsidRDefault="00CD15CE" w:rsidP="00423587">
            <w:pPr>
              <w:pStyle w:val="NoSpacing"/>
              <w:rPr>
                <w:sz w:val="20"/>
                <w:szCs w:val="20"/>
              </w:rPr>
            </w:pPr>
          </w:p>
          <w:p w:rsidR="00CD15CE" w:rsidRPr="00D75DEB" w:rsidRDefault="00CD15CE" w:rsidP="00423587">
            <w:pPr>
              <w:pStyle w:val="NoSpacing"/>
              <w:rPr>
                <w:sz w:val="20"/>
                <w:szCs w:val="20"/>
              </w:rPr>
            </w:pPr>
            <w:proofErr w:type="spellStart"/>
            <w:r>
              <w:rPr>
                <w:sz w:val="20"/>
                <w:szCs w:val="20"/>
              </w:rPr>
              <w:t>Centrix</w:t>
            </w:r>
            <w:proofErr w:type="spellEnd"/>
          </w:p>
          <w:p w:rsidR="00CD15CE" w:rsidRPr="00D75DEB" w:rsidRDefault="00CD15CE" w:rsidP="00423587">
            <w:pPr>
              <w:pStyle w:val="NoSpacing"/>
              <w:rPr>
                <w:sz w:val="20"/>
                <w:szCs w:val="20"/>
              </w:rPr>
            </w:pPr>
          </w:p>
          <w:p w:rsidR="00CD15CE" w:rsidRPr="00D75DEB" w:rsidRDefault="00CD15CE" w:rsidP="00423587">
            <w:pPr>
              <w:pStyle w:val="NoSpacing"/>
              <w:rPr>
                <w:sz w:val="20"/>
                <w:szCs w:val="20"/>
              </w:rPr>
            </w:pPr>
          </w:p>
          <w:p w:rsidR="00CD15CE" w:rsidRPr="00D75DEB" w:rsidRDefault="00CD15CE" w:rsidP="00423587">
            <w:pPr>
              <w:pStyle w:val="NoSpacing"/>
              <w:rPr>
                <w:sz w:val="20"/>
                <w:szCs w:val="20"/>
                <w:u w:val="single"/>
              </w:rPr>
            </w:pPr>
            <w:r w:rsidRPr="00D75DEB">
              <w:rPr>
                <w:sz w:val="20"/>
                <w:szCs w:val="20"/>
                <w:u w:val="single"/>
              </w:rPr>
              <w:t>Debt Collection Agenc</w:t>
            </w:r>
            <w:r>
              <w:rPr>
                <w:sz w:val="20"/>
                <w:szCs w:val="20"/>
                <w:u w:val="single"/>
              </w:rPr>
              <w:t>ies</w:t>
            </w:r>
          </w:p>
          <w:p w:rsidR="00CD15CE" w:rsidRPr="00D75DEB" w:rsidRDefault="00CD15CE" w:rsidP="00423587">
            <w:pPr>
              <w:pStyle w:val="NoSpacing"/>
              <w:rPr>
                <w:sz w:val="8"/>
                <w:szCs w:val="8"/>
                <w:u w:val="single"/>
              </w:rPr>
            </w:pPr>
          </w:p>
          <w:p w:rsidR="00CD15CE" w:rsidRDefault="00CD15CE" w:rsidP="00423587">
            <w:pPr>
              <w:pStyle w:val="NoSpacing"/>
              <w:rPr>
                <w:sz w:val="20"/>
                <w:szCs w:val="20"/>
              </w:rPr>
            </w:pPr>
            <w:proofErr w:type="spellStart"/>
            <w:r w:rsidRPr="00D75DEB">
              <w:rPr>
                <w:sz w:val="20"/>
                <w:szCs w:val="20"/>
              </w:rPr>
              <w:t>Baycorp</w:t>
            </w:r>
            <w:proofErr w:type="spellEnd"/>
            <w:r w:rsidRPr="00D75DEB">
              <w:rPr>
                <w:sz w:val="20"/>
                <w:szCs w:val="20"/>
              </w:rPr>
              <w:t xml:space="preserve"> (NZ) </w:t>
            </w:r>
          </w:p>
          <w:p w:rsidR="00CD15CE" w:rsidRPr="007D71D6" w:rsidRDefault="00CD15CE" w:rsidP="00423587">
            <w:pPr>
              <w:pStyle w:val="NoSpacing"/>
              <w:rPr>
                <w:sz w:val="10"/>
                <w:szCs w:val="10"/>
              </w:rPr>
            </w:pPr>
          </w:p>
          <w:p w:rsidR="00CD15CE" w:rsidRPr="00C50F71" w:rsidRDefault="00CD15CE" w:rsidP="00423587">
            <w:pPr>
              <w:pStyle w:val="NoSpacing"/>
              <w:rPr>
                <w:sz w:val="20"/>
                <w:szCs w:val="20"/>
              </w:rPr>
            </w:pPr>
            <w:r>
              <w:rPr>
                <w:sz w:val="20"/>
                <w:szCs w:val="20"/>
              </w:rPr>
              <w:t>Dun &amp; Bradstreet (NZ) Limited</w:t>
            </w:r>
          </w:p>
          <w:p w:rsidR="00CD15CE" w:rsidRPr="00D75DEB" w:rsidRDefault="00CD15CE" w:rsidP="00423587">
            <w:pPr>
              <w:pStyle w:val="NoSpacing"/>
              <w:rPr>
                <w:sz w:val="8"/>
                <w:szCs w:val="8"/>
              </w:rPr>
            </w:pPr>
          </w:p>
          <w:p w:rsidR="00CD15CE" w:rsidRPr="00D75DEB" w:rsidRDefault="00CD15CE" w:rsidP="00423587">
            <w:pPr>
              <w:pStyle w:val="NoSpacing"/>
              <w:rPr>
                <w:sz w:val="20"/>
                <w:szCs w:val="20"/>
              </w:rPr>
            </w:pPr>
          </w:p>
        </w:tc>
        <w:tc>
          <w:tcPr>
            <w:tcW w:w="2168" w:type="dxa"/>
          </w:tcPr>
          <w:p w:rsidR="00CD15CE" w:rsidRPr="00D75DEB" w:rsidRDefault="00CD15CE" w:rsidP="00423587">
            <w:pPr>
              <w:pStyle w:val="NoSpacing"/>
              <w:rPr>
                <w:sz w:val="20"/>
                <w:szCs w:val="20"/>
              </w:rPr>
            </w:pPr>
          </w:p>
          <w:p w:rsidR="00CD15CE" w:rsidRDefault="00CD15CE" w:rsidP="00423587">
            <w:pPr>
              <w:pStyle w:val="NoSpacing"/>
              <w:rPr>
                <w:sz w:val="20"/>
                <w:szCs w:val="20"/>
              </w:rPr>
            </w:pPr>
            <w:proofErr w:type="spellStart"/>
            <w:r>
              <w:rPr>
                <w:sz w:val="20"/>
                <w:szCs w:val="20"/>
              </w:rPr>
              <w:t>Autosure</w:t>
            </w:r>
            <w:proofErr w:type="spellEnd"/>
            <w:r>
              <w:rPr>
                <w:sz w:val="20"/>
                <w:szCs w:val="20"/>
              </w:rPr>
              <w:t xml:space="preserve"> </w:t>
            </w:r>
          </w:p>
          <w:p w:rsidR="00CD15CE" w:rsidRPr="007D71D6" w:rsidRDefault="00CD15CE" w:rsidP="00423587">
            <w:pPr>
              <w:pStyle w:val="NoSpacing"/>
              <w:rPr>
                <w:sz w:val="10"/>
                <w:szCs w:val="10"/>
              </w:rPr>
            </w:pPr>
          </w:p>
          <w:p w:rsidR="00CD15CE" w:rsidRDefault="00CD15CE" w:rsidP="00423587">
            <w:pPr>
              <w:pStyle w:val="NoSpacing"/>
              <w:rPr>
                <w:sz w:val="20"/>
                <w:szCs w:val="20"/>
              </w:rPr>
            </w:pPr>
            <w:proofErr w:type="spellStart"/>
            <w:r w:rsidRPr="00D75DEB">
              <w:rPr>
                <w:sz w:val="20"/>
                <w:szCs w:val="20"/>
              </w:rPr>
              <w:t>Protecta</w:t>
            </w:r>
            <w:proofErr w:type="spellEnd"/>
            <w:r w:rsidRPr="00D75DEB">
              <w:rPr>
                <w:sz w:val="20"/>
                <w:szCs w:val="20"/>
              </w:rPr>
              <w:t xml:space="preserve"> Insurance </w:t>
            </w:r>
          </w:p>
          <w:p w:rsidR="00CD15CE" w:rsidRPr="007D71D6" w:rsidRDefault="00CD15CE" w:rsidP="00423587">
            <w:pPr>
              <w:pStyle w:val="NoSpacing"/>
              <w:rPr>
                <w:sz w:val="10"/>
                <w:szCs w:val="10"/>
              </w:rPr>
            </w:pPr>
          </w:p>
          <w:p w:rsidR="00CD15CE" w:rsidRDefault="00CD15CE" w:rsidP="00423587">
            <w:pPr>
              <w:pStyle w:val="NoSpacing"/>
              <w:rPr>
                <w:sz w:val="20"/>
                <w:szCs w:val="20"/>
              </w:rPr>
            </w:pPr>
            <w:r w:rsidRPr="006E6235">
              <w:rPr>
                <w:sz w:val="20"/>
                <w:szCs w:val="20"/>
              </w:rPr>
              <w:t>Provident Insurance Corporation Ltd</w:t>
            </w:r>
          </w:p>
          <w:p w:rsidR="00CD15CE" w:rsidRPr="006E6235" w:rsidRDefault="00CD15CE" w:rsidP="00423587">
            <w:pPr>
              <w:pStyle w:val="NoSpacing"/>
              <w:rPr>
                <w:sz w:val="20"/>
                <w:szCs w:val="20"/>
              </w:rPr>
            </w:pPr>
          </w:p>
          <w:p w:rsidR="00CD15CE" w:rsidRPr="006E6235" w:rsidRDefault="00CD15CE" w:rsidP="00423587">
            <w:pPr>
              <w:pStyle w:val="NoSpacing"/>
              <w:rPr>
                <w:sz w:val="20"/>
                <w:szCs w:val="20"/>
              </w:rPr>
            </w:pPr>
            <w:proofErr w:type="spellStart"/>
            <w:r w:rsidRPr="006E6235">
              <w:rPr>
                <w:sz w:val="20"/>
                <w:szCs w:val="20"/>
              </w:rPr>
              <w:t>Southsure</w:t>
            </w:r>
            <w:proofErr w:type="spellEnd"/>
            <w:r w:rsidRPr="006E6235">
              <w:rPr>
                <w:sz w:val="20"/>
                <w:szCs w:val="20"/>
              </w:rPr>
              <w:t xml:space="preserve"> Assurance</w:t>
            </w:r>
          </w:p>
          <w:p w:rsidR="00CD15CE" w:rsidRPr="00D75DEB" w:rsidRDefault="00CD15CE" w:rsidP="00423587">
            <w:pPr>
              <w:pStyle w:val="NoSpacing"/>
              <w:rPr>
                <w:sz w:val="20"/>
                <w:szCs w:val="20"/>
              </w:rPr>
            </w:pPr>
          </w:p>
        </w:tc>
        <w:tc>
          <w:tcPr>
            <w:tcW w:w="2353" w:type="dxa"/>
          </w:tcPr>
          <w:p w:rsidR="00CD15CE" w:rsidRPr="00D75DEB" w:rsidRDefault="00CD15CE" w:rsidP="00423587">
            <w:pPr>
              <w:pStyle w:val="NoSpacing"/>
              <w:rPr>
                <w:sz w:val="20"/>
                <w:szCs w:val="20"/>
              </w:rPr>
            </w:pPr>
          </w:p>
          <w:p w:rsidR="00CD15CE" w:rsidRDefault="00CD15CE" w:rsidP="00423587">
            <w:pPr>
              <w:pStyle w:val="NoSpacing"/>
              <w:rPr>
                <w:sz w:val="20"/>
                <w:szCs w:val="20"/>
              </w:rPr>
            </w:pPr>
            <w:r>
              <w:rPr>
                <w:sz w:val="20"/>
                <w:szCs w:val="20"/>
              </w:rPr>
              <w:t>American Express International (NZ) Ltd</w:t>
            </w:r>
          </w:p>
          <w:p w:rsidR="00CD15CE" w:rsidRPr="009F28CA" w:rsidRDefault="00CD15CE" w:rsidP="00423587">
            <w:pPr>
              <w:pStyle w:val="NoSpacing"/>
              <w:rPr>
                <w:sz w:val="10"/>
                <w:szCs w:val="10"/>
              </w:rPr>
            </w:pPr>
          </w:p>
          <w:p w:rsidR="00CD15CE" w:rsidRDefault="00CD15CE" w:rsidP="00423587">
            <w:pPr>
              <w:pStyle w:val="NoSpacing"/>
              <w:rPr>
                <w:sz w:val="20"/>
                <w:szCs w:val="20"/>
              </w:rPr>
            </w:pPr>
            <w:r>
              <w:rPr>
                <w:sz w:val="20"/>
                <w:szCs w:val="20"/>
              </w:rPr>
              <w:t>AML Solutions</w:t>
            </w:r>
          </w:p>
          <w:p w:rsidR="00CD15CE" w:rsidRPr="009F28CA" w:rsidRDefault="00CD15CE" w:rsidP="00423587">
            <w:pPr>
              <w:pStyle w:val="NoSpacing"/>
              <w:rPr>
                <w:sz w:val="10"/>
                <w:szCs w:val="10"/>
              </w:rPr>
            </w:pPr>
          </w:p>
          <w:p w:rsidR="00CD15CE" w:rsidRDefault="00CD15CE" w:rsidP="00423587">
            <w:pPr>
              <w:pStyle w:val="NoSpacing"/>
              <w:rPr>
                <w:sz w:val="20"/>
                <w:szCs w:val="20"/>
              </w:rPr>
            </w:pPr>
            <w:r w:rsidRPr="00D75DEB">
              <w:rPr>
                <w:sz w:val="20"/>
                <w:szCs w:val="20"/>
              </w:rPr>
              <w:t>Buddle Findlay</w:t>
            </w:r>
          </w:p>
          <w:p w:rsidR="00CD15CE" w:rsidRPr="009F28CA" w:rsidRDefault="00CD15CE" w:rsidP="00423587">
            <w:pPr>
              <w:pStyle w:val="NoSpacing"/>
              <w:rPr>
                <w:sz w:val="10"/>
                <w:szCs w:val="10"/>
              </w:rPr>
            </w:pPr>
          </w:p>
          <w:p w:rsidR="00CD15CE" w:rsidRDefault="00CD15CE" w:rsidP="00423587">
            <w:pPr>
              <w:pStyle w:val="NoSpacing"/>
              <w:rPr>
                <w:sz w:val="20"/>
                <w:szCs w:val="20"/>
              </w:rPr>
            </w:pPr>
            <w:r>
              <w:rPr>
                <w:sz w:val="20"/>
                <w:szCs w:val="20"/>
              </w:rPr>
              <w:t>Chapman Tripp</w:t>
            </w:r>
          </w:p>
          <w:p w:rsidR="00CD15CE" w:rsidRPr="009F28CA" w:rsidRDefault="00CD15CE" w:rsidP="00423587">
            <w:pPr>
              <w:pStyle w:val="NoSpacing"/>
              <w:rPr>
                <w:sz w:val="10"/>
                <w:szCs w:val="10"/>
              </w:rPr>
            </w:pPr>
          </w:p>
          <w:p w:rsidR="00CD15CE" w:rsidRPr="00D75DEB" w:rsidRDefault="00CD15CE" w:rsidP="00423587">
            <w:pPr>
              <w:pStyle w:val="NoSpacing"/>
              <w:rPr>
                <w:sz w:val="20"/>
                <w:szCs w:val="20"/>
              </w:rPr>
            </w:pPr>
            <w:r>
              <w:rPr>
                <w:sz w:val="20"/>
                <w:szCs w:val="20"/>
              </w:rPr>
              <w:t>EY</w:t>
            </w:r>
          </w:p>
          <w:p w:rsidR="00CD15CE" w:rsidRPr="009F28CA" w:rsidRDefault="00CD15CE" w:rsidP="00423587">
            <w:pPr>
              <w:pStyle w:val="NoSpacing"/>
              <w:rPr>
                <w:sz w:val="10"/>
                <w:szCs w:val="10"/>
              </w:rPr>
            </w:pPr>
          </w:p>
          <w:p w:rsidR="00CD15CE" w:rsidRDefault="00CD15CE" w:rsidP="00423587">
            <w:pPr>
              <w:pStyle w:val="NoSpacing"/>
              <w:rPr>
                <w:sz w:val="20"/>
                <w:szCs w:val="20"/>
              </w:rPr>
            </w:pPr>
            <w:proofErr w:type="spellStart"/>
            <w:r>
              <w:rPr>
                <w:sz w:val="20"/>
                <w:szCs w:val="20"/>
              </w:rPr>
              <w:t>Finzsoft</w:t>
            </w:r>
            <w:proofErr w:type="spellEnd"/>
          </w:p>
          <w:p w:rsidR="00CD15CE" w:rsidRPr="009F28CA" w:rsidRDefault="00CD15CE" w:rsidP="00423587">
            <w:pPr>
              <w:pStyle w:val="NoSpacing"/>
              <w:rPr>
                <w:sz w:val="10"/>
                <w:szCs w:val="10"/>
              </w:rPr>
            </w:pPr>
          </w:p>
          <w:p w:rsidR="00CD15CE" w:rsidRPr="00D75DEB" w:rsidRDefault="00CD15CE" w:rsidP="00423587">
            <w:pPr>
              <w:pStyle w:val="NoSpacing"/>
              <w:rPr>
                <w:sz w:val="20"/>
                <w:szCs w:val="20"/>
              </w:rPr>
            </w:pPr>
            <w:r>
              <w:rPr>
                <w:sz w:val="20"/>
                <w:szCs w:val="20"/>
              </w:rPr>
              <w:t>KPMG</w:t>
            </w:r>
          </w:p>
          <w:p w:rsidR="00CD15CE" w:rsidRPr="009F28CA" w:rsidRDefault="00CD15CE" w:rsidP="00423587">
            <w:pPr>
              <w:pStyle w:val="NoSpacing"/>
              <w:rPr>
                <w:sz w:val="10"/>
                <w:szCs w:val="10"/>
              </w:rPr>
            </w:pPr>
          </w:p>
          <w:p w:rsidR="00CD15CE" w:rsidRPr="00D75DEB" w:rsidRDefault="00CD15CE" w:rsidP="00423587">
            <w:pPr>
              <w:pStyle w:val="NoSpacing"/>
              <w:rPr>
                <w:sz w:val="20"/>
                <w:szCs w:val="20"/>
              </w:rPr>
            </w:pPr>
            <w:r>
              <w:rPr>
                <w:sz w:val="20"/>
                <w:szCs w:val="20"/>
              </w:rPr>
              <w:t>PWC</w:t>
            </w:r>
          </w:p>
          <w:p w:rsidR="00CD15CE" w:rsidRPr="009F28CA" w:rsidRDefault="00CD15CE" w:rsidP="00423587">
            <w:pPr>
              <w:pStyle w:val="NoSpacing"/>
              <w:rPr>
                <w:sz w:val="10"/>
                <w:szCs w:val="10"/>
              </w:rPr>
            </w:pPr>
          </w:p>
          <w:p w:rsidR="00CD15CE" w:rsidRDefault="00CD15CE" w:rsidP="00423587">
            <w:pPr>
              <w:pStyle w:val="NoSpacing"/>
              <w:rPr>
                <w:sz w:val="20"/>
                <w:szCs w:val="20"/>
              </w:rPr>
            </w:pPr>
            <w:proofErr w:type="spellStart"/>
            <w:r w:rsidRPr="00D75DEB">
              <w:rPr>
                <w:sz w:val="20"/>
                <w:szCs w:val="20"/>
              </w:rPr>
              <w:t>SimpsonWestern</w:t>
            </w:r>
            <w:proofErr w:type="spellEnd"/>
          </w:p>
          <w:p w:rsidR="00CD15CE" w:rsidRDefault="00CD15CE" w:rsidP="00423587">
            <w:pPr>
              <w:pStyle w:val="NoSpacing"/>
              <w:rPr>
                <w:sz w:val="20"/>
                <w:szCs w:val="20"/>
              </w:rPr>
            </w:pPr>
          </w:p>
          <w:p w:rsidR="00CD15CE" w:rsidRPr="00D75DEB" w:rsidRDefault="00CD15CE" w:rsidP="00423587">
            <w:pPr>
              <w:pStyle w:val="NoSpacing"/>
              <w:rPr>
                <w:sz w:val="20"/>
                <w:szCs w:val="20"/>
              </w:rPr>
            </w:pPr>
            <w:r>
              <w:rPr>
                <w:sz w:val="20"/>
                <w:szCs w:val="20"/>
              </w:rPr>
              <w:t>Fintech</w:t>
            </w:r>
          </w:p>
          <w:p w:rsidR="00CD15CE" w:rsidRDefault="00CD15CE" w:rsidP="00423587">
            <w:pPr>
              <w:pStyle w:val="NoSpacing"/>
              <w:rPr>
                <w:sz w:val="8"/>
                <w:szCs w:val="8"/>
              </w:rPr>
            </w:pPr>
          </w:p>
          <w:p w:rsidR="00CD15CE" w:rsidRDefault="00CD15CE" w:rsidP="00423587">
            <w:pPr>
              <w:pStyle w:val="NoSpacing"/>
              <w:rPr>
                <w:sz w:val="20"/>
                <w:szCs w:val="20"/>
              </w:rPr>
            </w:pPr>
            <w:r>
              <w:rPr>
                <w:sz w:val="20"/>
                <w:szCs w:val="20"/>
              </w:rPr>
              <w:t>Paul Davies Law</w:t>
            </w:r>
          </w:p>
          <w:p w:rsidR="00CD15CE" w:rsidRDefault="00CD15CE" w:rsidP="00423587">
            <w:pPr>
              <w:pStyle w:val="NoSpacing"/>
              <w:rPr>
                <w:sz w:val="20"/>
                <w:szCs w:val="20"/>
              </w:rPr>
            </w:pPr>
          </w:p>
          <w:p w:rsidR="00CD15CE" w:rsidRPr="00637ED8" w:rsidRDefault="00CD15CE" w:rsidP="00423587">
            <w:pPr>
              <w:pStyle w:val="NoSpacing"/>
              <w:rPr>
                <w:sz w:val="20"/>
                <w:szCs w:val="20"/>
              </w:rPr>
            </w:pPr>
            <w:r>
              <w:rPr>
                <w:sz w:val="20"/>
                <w:szCs w:val="20"/>
              </w:rPr>
              <w:t>HPD Software Ltd</w:t>
            </w:r>
          </w:p>
          <w:p w:rsidR="00CD15CE" w:rsidRPr="00D75DEB" w:rsidRDefault="00CD15CE" w:rsidP="00423587">
            <w:pPr>
              <w:pStyle w:val="NoSpacing"/>
              <w:rPr>
                <w:sz w:val="20"/>
                <w:szCs w:val="20"/>
              </w:rPr>
            </w:pPr>
          </w:p>
          <w:p w:rsidR="00CD15CE" w:rsidRPr="00D75DEB" w:rsidRDefault="00CD15CE" w:rsidP="00423587">
            <w:pPr>
              <w:pStyle w:val="NoSpacing"/>
              <w:rPr>
                <w:sz w:val="20"/>
                <w:szCs w:val="20"/>
              </w:rPr>
            </w:pPr>
          </w:p>
          <w:p w:rsidR="00CD15CE" w:rsidRDefault="00CD15CE" w:rsidP="00423587">
            <w:pPr>
              <w:pStyle w:val="NoSpacing"/>
              <w:rPr>
                <w:sz w:val="20"/>
                <w:szCs w:val="20"/>
              </w:rPr>
            </w:pPr>
          </w:p>
          <w:p w:rsidR="00CD15CE" w:rsidRDefault="00CD15CE" w:rsidP="00423587">
            <w:pPr>
              <w:pStyle w:val="NoSpacing"/>
              <w:rPr>
                <w:sz w:val="20"/>
                <w:szCs w:val="20"/>
              </w:rPr>
            </w:pPr>
          </w:p>
          <w:p w:rsidR="00CD15CE" w:rsidRDefault="00CD15CE" w:rsidP="00423587">
            <w:pPr>
              <w:pStyle w:val="NoSpacing"/>
              <w:rPr>
                <w:sz w:val="20"/>
                <w:szCs w:val="20"/>
              </w:rPr>
            </w:pPr>
          </w:p>
          <w:p w:rsidR="00CD15CE" w:rsidRPr="00706907" w:rsidRDefault="00CD15CE" w:rsidP="00423587">
            <w:pPr>
              <w:pStyle w:val="NoSpacing"/>
              <w:rPr>
                <w:sz w:val="20"/>
                <w:szCs w:val="20"/>
              </w:rPr>
            </w:pPr>
            <w:r>
              <w:rPr>
                <w:sz w:val="20"/>
                <w:szCs w:val="20"/>
              </w:rPr>
              <w:t>Total (58 members)</w:t>
            </w:r>
          </w:p>
        </w:tc>
      </w:tr>
    </w:tbl>
    <w:p w:rsidR="00EF72D8" w:rsidRPr="00CD15CE" w:rsidRDefault="00EF72D8" w:rsidP="00CD15CE">
      <w:pPr>
        <w:spacing w:after="0" w:line="240" w:lineRule="auto"/>
        <w:rPr>
          <w:sz w:val="2"/>
          <w:szCs w:val="2"/>
        </w:rPr>
      </w:pPr>
      <w:bookmarkStart w:id="2" w:name="_GoBack"/>
      <w:bookmarkEnd w:id="2"/>
    </w:p>
    <w:sectPr w:rsidR="00EF72D8" w:rsidRPr="00CD15CE" w:rsidSect="00CD15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624C5"/>
    <w:multiLevelType w:val="hybridMultilevel"/>
    <w:tmpl w:val="4C8CE5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BE"/>
    <w:rsid w:val="00030970"/>
    <w:rsid w:val="00096304"/>
    <w:rsid w:val="0061037F"/>
    <w:rsid w:val="007F4FFD"/>
    <w:rsid w:val="00B776BE"/>
    <w:rsid w:val="00CD15CE"/>
    <w:rsid w:val="00D21C8B"/>
    <w:rsid w:val="00EF72D8"/>
    <w:rsid w:val="00F4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271F"/>
  <w15:chartTrackingRefBased/>
  <w15:docId w15:val="{328D4137-5DDF-4FC8-8C4A-EEE4309A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6BE"/>
    <w:rPr>
      <w:color w:val="0563C1" w:themeColor="hyperlink"/>
      <w:u w:val="single"/>
    </w:rPr>
  </w:style>
  <w:style w:type="paragraph" w:styleId="ListParagraph">
    <w:name w:val="List Paragraph"/>
    <w:basedOn w:val="Normal"/>
    <w:uiPriority w:val="34"/>
    <w:qFormat/>
    <w:rsid w:val="00B776BE"/>
    <w:pPr>
      <w:ind w:left="720"/>
      <w:contextualSpacing/>
    </w:pPr>
  </w:style>
  <w:style w:type="table" w:styleId="TableGrid">
    <w:name w:val="Table Grid"/>
    <w:basedOn w:val="TableNormal"/>
    <w:uiPriority w:val="59"/>
    <w:rsid w:val="00CD15CE"/>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15CE"/>
    <w:pPr>
      <w:spacing w:after="0" w:line="240" w:lineRule="auto"/>
    </w:pPr>
    <w:rPr>
      <w:rFonts w:ascii="Calibri" w:eastAsia="Calibri" w:hAnsi="Calibri"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l@justice.govt.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McMorran</dc:creator>
  <cp:keywords/>
  <dc:description/>
  <cp:lastModifiedBy>Sue Bentley</cp:lastModifiedBy>
  <cp:revision>2</cp:revision>
  <dcterms:created xsi:type="dcterms:W3CDTF">2017-10-30T22:57:00Z</dcterms:created>
  <dcterms:modified xsi:type="dcterms:W3CDTF">2017-10-30T22:57:00Z</dcterms:modified>
</cp:coreProperties>
</file>