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3" w:rsidRDefault="00F3735B" w:rsidP="006B25D3">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61.5pt">
            <v:imagedata r:id="rId7" o:title="FSF-logo-CMYK"/>
          </v:shape>
        </w:pict>
      </w:r>
    </w:p>
    <w:p w:rsidR="006B25D3" w:rsidRDefault="006B25D3" w:rsidP="006B25D3">
      <w:pPr>
        <w:spacing w:after="0" w:line="240" w:lineRule="auto"/>
      </w:pPr>
    </w:p>
    <w:p w:rsidR="006B25D3" w:rsidRDefault="006B25D3" w:rsidP="006B25D3">
      <w:pPr>
        <w:spacing w:after="0" w:line="240" w:lineRule="auto"/>
      </w:pPr>
    </w:p>
    <w:p w:rsidR="00E82872" w:rsidRDefault="00E82872" w:rsidP="00E82872">
      <w:pPr>
        <w:spacing w:after="0" w:line="240" w:lineRule="auto"/>
      </w:pPr>
    </w:p>
    <w:p w:rsidR="00454787" w:rsidRPr="003A1BD0" w:rsidRDefault="00C7670E" w:rsidP="00454787">
      <w:pPr>
        <w:spacing w:after="0" w:line="240" w:lineRule="auto"/>
        <w:jc w:val="both"/>
        <w:rPr>
          <w:rFonts w:asciiTheme="minorHAnsi" w:hAnsiTheme="minorHAnsi" w:cstheme="minorHAnsi"/>
        </w:rPr>
      </w:pPr>
      <w:r w:rsidRPr="003A1BD0">
        <w:rPr>
          <w:rFonts w:asciiTheme="minorHAnsi" w:hAnsiTheme="minorHAnsi" w:cstheme="minorHAnsi"/>
        </w:rPr>
        <w:t>30 August 2013</w:t>
      </w:r>
      <w:r w:rsidR="00454787" w:rsidRPr="003A1BD0">
        <w:rPr>
          <w:rFonts w:asciiTheme="minorHAnsi" w:hAnsiTheme="minorHAnsi" w:cstheme="minorHAnsi"/>
        </w:rPr>
        <w:tab/>
      </w:r>
      <w:r w:rsidR="00454787" w:rsidRPr="003A1BD0">
        <w:rPr>
          <w:rFonts w:asciiTheme="minorHAnsi" w:hAnsiTheme="minorHAnsi" w:cstheme="minorHAnsi"/>
        </w:rPr>
        <w:tab/>
      </w:r>
      <w:r w:rsidR="00454787" w:rsidRPr="003A1BD0">
        <w:rPr>
          <w:rFonts w:asciiTheme="minorHAnsi" w:hAnsiTheme="minorHAnsi" w:cstheme="minorHAnsi"/>
        </w:rPr>
        <w:tab/>
      </w:r>
      <w:r w:rsidR="00454787" w:rsidRPr="003A1BD0">
        <w:rPr>
          <w:rFonts w:asciiTheme="minorHAnsi" w:hAnsiTheme="minorHAnsi" w:cstheme="minorHAnsi"/>
        </w:rPr>
        <w:tab/>
      </w:r>
      <w:r w:rsidR="00454787" w:rsidRPr="003A1BD0">
        <w:rPr>
          <w:rFonts w:asciiTheme="minorHAnsi" w:hAnsiTheme="minorHAnsi" w:cstheme="minorHAnsi"/>
        </w:rPr>
        <w:tab/>
      </w:r>
      <w:r w:rsidR="00454787" w:rsidRPr="003A1BD0">
        <w:rPr>
          <w:rFonts w:asciiTheme="minorHAnsi" w:hAnsiTheme="minorHAnsi" w:cstheme="minorHAnsi"/>
        </w:rPr>
        <w:tab/>
      </w:r>
      <w:r w:rsidR="00454787" w:rsidRPr="003A1BD0">
        <w:rPr>
          <w:rFonts w:asciiTheme="minorHAnsi" w:hAnsiTheme="minorHAnsi" w:cstheme="minorHAnsi"/>
        </w:rPr>
        <w:tab/>
      </w:r>
      <w:r w:rsidR="00454787" w:rsidRPr="003A1BD0">
        <w:rPr>
          <w:rFonts w:asciiTheme="minorHAnsi" w:hAnsiTheme="minorHAnsi" w:cstheme="minorHAnsi"/>
        </w:rPr>
        <w:tab/>
      </w:r>
    </w:p>
    <w:p w:rsidR="00C7670E" w:rsidRPr="003A1BD0" w:rsidRDefault="00C7670E" w:rsidP="00C7670E">
      <w:pPr>
        <w:spacing w:after="0" w:line="240" w:lineRule="auto"/>
        <w:rPr>
          <w:rFonts w:asciiTheme="minorHAnsi" w:hAnsiTheme="minorHAnsi" w:cstheme="minorHAnsi"/>
          <w:b/>
        </w:rPr>
      </w:pPr>
    </w:p>
    <w:p w:rsidR="00C7670E" w:rsidRPr="003A1BD0" w:rsidRDefault="00C7670E" w:rsidP="00C7670E">
      <w:pPr>
        <w:spacing w:after="0" w:line="240" w:lineRule="auto"/>
        <w:rPr>
          <w:rFonts w:asciiTheme="minorHAnsi" w:hAnsiTheme="minorHAnsi" w:cstheme="minorHAnsi"/>
          <w:b/>
        </w:rPr>
      </w:pPr>
      <w:r w:rsidRPr="003A1BD0">
        <w:rPr>
          <w:rFonts w:asciiTheme="minorHAnsi" w:hAnsiTheme="minorHAnsi" w:cstheme="minorHAnsi"/>
          <w:b/>
        </w:rPr>
        <w:t>Financial Services Federation (“FSF”) Submission:  Code Committee review of the Code of Professional Conduct for Authorised Financial Advisers Consultation Paper</w:t>
      </w:r>
    </w:p>
    <w:p w:rsidR="00C7670E" w:rsidRPr="003A1BD0" w:rsidRDefault="00C7670E" w:rsidP="00C7670E">
      <w:pPr>
        <w:spacing w:after="0" w:line="240" w:lineRule="auto"/>
        <w:rPr>
          <w:rFonts w:asciiTheme="minorHAnsi" w:hAnsiTheme="minorHAnsi" w:cstheme="minorHAnsi"/>
          <w:b/>
        </w:rPr>
      </w:pPr>
    </w:p>
    <w:p w:rsidR="00C7670E" w:rsidRPr="003A1BD0" w:rsidRDefault="00C7670E" w:rsidP="003A1BD0">
      <w:pPr>
        <w:spacing w:after="0" w:line="240" w:lineRule="auto"/>
        <w:jc w:val="both"/>
        <w:rPr>
          <w:rFonts w:asciiTheme="minorHAnsi" w:hAnsiTheme="minorHAnsi" w:cstheme="minorHAnsi"/>
          <w:b/>
        </w:rPr>
      </w:pPr>
      <w:r w:rsidRPr="003A1BD0">
        <w:rPr>
          <w:rFonts w:asciiTheme="minorHAnsi" w:hAnsiTheme="minorHAnsi" w:cstheme="minorHAnsi"/>
          <w:b/>
        </w:rPr>
        <w:t>Submission by:</w:t>
      </w:r>
    </w:p>
    <w:p w:rsidR="00C7670E" w:rsidRPr="003A1BD0" w:rsidRDefault="00C7670E" w:rsidP="003A1BD0">
      <w:pPr>
        <w:spacing w:after="0" w:line="240" w:lineRule="auto"/>
        <w:jc w:val="both"/>
        <w:rPr>
          <w:rFonts w:asciiTheme="minorHAnsi" w:hAnsiTheme="minorHAnsi" w:cstheme="minorHAnsi"/>
        </w:rPr>
      </w:pPr>
      <w:r w:rsidRPr="003A1BD0">
        <w:rPr>
          <w:rFonts w:asciiTheme="minorHAnsi" w:hAnsiTheme="minorHAnsi" w:cstheme="minorHAnsi"/>
          <w:b/>
        </w:rPr>
        <w:t>Person:</w:t>
      </w:r>
      <w:r w:rsidRPr="003A1BD0">
        <w:rPr>
          <w:rFonts w:asciiTheme="minorHAnsi" w:hAnsiTheme="minorHAnsi" w:cstheme="minorHAnsi"/>
          <w:b/>
        </w:rPr>
        <w:tab/>
      </w:r>
      <w:r w:rsidRPr="003A1BD0">
        <w:rPr>
          <w:rFonts w:asciiTheme="minorHAnsi" w:hAnsiTheme="minorHAnsi" w:cstheme="minorHAnsi"/>
          <w:b/>
        </w:rPr>
        <w:tab/>
      </w:r>
      <w:r w:rsidRPr="003A1BD0">
        <w:rPr>
          <w:rFonts w:asciiTheme="minorHAnsi" w:hAnsiTheme="minorHAnsi" w:cstheme="minorHAnsi"/>
          <w:b/>
        </w:rPr>
        <w:tab/>
      </w:r>
      <w:r w:rsidRPr="003A1BD0">
        <w:rPr>
          <w:rFonts w:asciiTheme="minorHAnsi" w:hAnsiTheme="minorHAnsi" w:cstheme="minorHAnsi"/>
          <w:b/>
        </w:rPr>
        <w:tab/>
      </w:r>
      <w:r w:rsidRPr="003A1BD0">
        <w:rPr>
          <w:rFonts w:asciiTheme="minorHAnsi" w:hAnsiTheme="minorHAnsi" w:cstheme="minorHAnsi"/>
        </w:rPr>
        <w:t>Lyn McMorran, Executive Director</w:t>
      </w:r>
    </w:p>
    <w:p w:rsidR="00C7670E" w:rsidRPr="003A1BD0" w:rsidRDefault="00C7670E" w:rsidP="003A1BD0">
      <w:pPr>
        <w:spacing w:after="0" w:line="240" w:lineRule="auto"/>
        <w:jc w:val="both"/>
        <w:rPr>
          <w:rFonts w:asciiTheme="minorHAnsi" w:hAnsiTheme="minorHAnsi" w:cstheme="minorHAnsi"/>
        </w:rPr>
      </w:pPr>
      <w:r w:rsidRPr="003A1BD0">
        <w:rPr>
          <w:rFonts w:asciiTheme="minorHAnsi" w:hAnsiTheme="minorHAnsi" w:cstheme="minorHAnsi"/>
          <w:b/>
        </w:rPr>
        <w:t>Company or Entity:</w:t>
      </w:r>
      <w:r w:rsidRPr="003A1BD0">
        <w:rPr>
          <w:rFonts w:asciiTheme="minorHAnsi" w:hAnsiTheme="minorHAnsi" w:cstheme="minorHAnsi"/>
          <w:b/>
        </w:rPr>
        <w:tab/>
      </w:r>
      <w:r w:rsidRPr="003A1BD0">
        <w:rPr>
          <w:rFonts w:asciiTheme="minorHAnsi" w:hAnsiTheme="minorHAnsi" w:cstheme="minorHAnsi"/>
          <w:b/>
        </w:rPr>
        <w:tab/>
      </w:r>
      <w:r w:rsidRPr="003A1BD0">
        <w:rPr>
          <w:rFonts w:asciiTheme="minorHAnsi" w:hAnsiTheme="minorHAnsi" w:cstheme="minorHAnsi"/>
        </w:rPr>
        <w:t>Financial Services Federation (“FSF”)</w:t>
      </w:r>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b/>
          <w:sz w:val="22"/>
          <w:szCs w:val="22"/>
        </w:rPr>
        <w:t>Organisation type:</w:t>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sz w:val="22"/>
          <w:szCs w:val="22"/>
        </w:rPr>
        <w:t xml:space="preserve">The FSF is the industry body for the responsible non-bank financial </w:t>
      </w:r>
    </w:p>
    <w:p w:rsidR="00C7670E" w:rsidRPr="003A1BD0" w:rsidRDefault="00C7670E" w:rsidP="003A1BD0">
      <w:pPr>
        <w:pStyle w:val="Default"/>
        <w:ind w:left="2880"/>
        <w:jc w:val="both"/>
        <w:rPr>
          <w:rFonts w:asciiTheme="minorHAnsi" w:hAnsiTheme="minorHAnsi" w:cstheme="minorHAnsi"/>
          <w:sz w:val="22"/>
          <w:szCs w:val="22"/>
        </w:rPr>
      </w:pPr>
      <w:r w:rsidRPr="003A1BD0">
        <w:rPr>
          <w:rFonts w:asciiTheme="minorHAnsi" w:hAnsiTheme="minorHAnsi" w:cstheme="minorHAnsi"/>
          <w:sz w:val="22"/>
          <w:szCs w:val="22"/>
        </w:rPr>
        <w:t>services sector. We have forty members and associates providing financing, investment, banking and insurance services to over 1 million New Zealanders and our six affiliate members include internationally recognised legal and consulting partners. A list of our members is attached as Appendix A.</w:t>
      </w:r>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b/>
          <w:sz w:val="22"/>
          <w:szCs w:val="22"/>
        </w:rPr>
        <w:t>Contact Person:</w:t>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sz w:val="22"/>
          <w:szCs w:val="22"/>
        </w:rPr>
        <w:t>Lyn McMorran</w:t>
      </w:r>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b/>
          <w:sz w:val="22"/>
          <w:szCs w:val="22"/>
        </w:rPr>
        <w:t>E-mail:</w:t>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b/>
          <w:sz w:val="22"/>
          <w:szCs w:val="22"/>
        </w:rPr>
        <w:tab/>
      </w:r>
      <w:hyperlink r:id="rId8" w:history="1">
        <w:r w:rsidRPr="003A1BD0">
          <w:rPr>
            <w:rStyle w:val="Hyperlink"/>
            <w:rFonts w:asciiTheme="minorHAnsi" w:hAnsiTheme="minorHAnsi" w:cstheme="minorHAnsi"/>
            <w:sz w:val="22"/>
            <w:szCs w:val="22"/>
          </w:rPr>
          <w:t>lmcmorran@fsf.org.nz</w:t>
        </w:r>
      </w:hyperlink>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b/>
          <w:sz w:val="22"/>
          <w:szCs w:val="22"/>
        </w:rPr>
        <w:t>Phone:</w:t>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sz w:val="22"/>
          <w:szCs w:val="22"/>
        </w:rPr>
        <w:t>04-472-1731 or 027-572-1731</w:t>
      </w:r>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b/>
          <w:sz w:val="22"/>
          <w:szCs w:val="22"/>
        </w:rPr>
        <w:t>Total pages:</w:t>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sz w:val="22"/>
          <w:szCs w:val="22"/>
        </w:rPr>
        <w:t>4</w:t>
      </w:r>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b/>
          <w:sz w:val="22"/>
          <w:szCs w:val="22"/>
        </w:rPr>
        <w:t>Date:</w:t>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b/>
          <w:sz w:val="22"/>
          <w:szCs w:val="22"/>
        </w:rPr>
        <w:tab/>
      </w:r>
      <w:r w:rsidRPr="003A1BD0">
        <w:rPr>
          <w:rFonts w:asciiTheme="minorHAnsi" w:hAnsiTheme="minorHAnsi" w:cstheme="minorHAnsi"/>
          <w:sz w:val="22"/>
          <w:szCs w:val="22"/>
        </w:rPr>
        <w:t xml:space="preserve">30 August 2013 </w:t>
      </w:r>
    </w:p>
    <w:p w:rsidR="00C7670E" w:rsidRPr="003A1BD0" w:rsidRDefault="00C7670E" w:rsidP="00C7670E">
      <w:pPr>
        <w:pStyle w:val="Default"/>
        <w:rPr>
          <w:rFonts w:asciiTheme="minorHAnsi" w:hAnsiTheme="minorHAnsi" w:cstheme="minorHAnsi"/>
          <w:sz w:val="22"/>
          <w:szCs w:val="22"/>
        </w:rPr>
      </w:pPr>
    </w:p>
    <w:p w:rsidR="00C7670E" w:rsidRPr="003A1BD0" w:rsidRDefault="00C7670E" w:rsidP="00C7670E">
      <w:pPr>
        <w:pStyle w:val="Default"/>
        <w:rPr>
          <w:rFonts w:asciiTheme="minorHAnsi" w:hAnsiTheme="minorHAnsi" w:cstheme="minorHAnsi"/>
          <w:sz w:val="22"/>
          <w:szCs w:val="22"/>
        </w:rPr>
      </w:pPr>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sz w:val="22"/>
          <w:szCs w:val="22"/>
        </w:rPr>
        <w:t>Before addressing the questions asked in the Consultation Paper, I should start by saying that FSF members, by the nature of their businesses, do not need to employ Authorised Financial Advisers.  All members are either QFE’s or they employ people who are registered as financial advisers but not Authorised – with the exception of one member who has two or three AFA’s in their employ who have chosen to become Authorised for their own career development.</w:t>
      </w:r>
    </w:p>
    <w:p w:rsidR="00C7670E" w:rsidRPr="003A1BD0" w:rsidRDefault="00C7670E" w:rsidP="003A1BD0">
      <w:pPr>
        <w:pStyle w:val="Default"/>
        <w:jc w:val="both"/>
        <w:rPr>
          <w:rFonts w:asciiTheme="minorHAnsi" w:hAnsiTheme="minorHAnsi" w:cstheme="minorHAnsi"/>
          <w:sz w:val="22"/>
          <w:szCs w:val="22"/>
        </w:rPr>
      </w:pPr>
    </w:p>
    <w:p w:rsidR="00C7670E" w:rsidRPr="003A1BD0" w:rsidRDefault="00C7670E" w:rsidP="003A1BD0">
      <w:pPr>
        <w:pStyle w:val="Default"/>
        <w:jc w:val="both"/>
        <w:rPr>
          <w:rFonts w:asciiTheme="minorHAnsi" w:hAnsiTheme="minorHAnsi" w:cstheme="minorHAnsi"/>
          <w:sz w:val="22"/>
          <w:szCs w:val="22"/>
        </w:rPr>
      </w:pPr>
      <w:r w:rsidRPr="003A1BD0">
        <w:rPr>
          <w:rFonts w:asciiTheme="minorHAnsi" w:hAnsiTheme="minorHAnsi" w:cstheme="minorHAnsi"/>
          <w:sz w:val="22"/>
          <w:szCs w:val="22"/>
        </w:rPr>
        <w:t>For that reason, FSF members are largely unaffected by the changes proposed to the Code of Professional Conduct for Authorised Financial Advisers in the Consultation Paper.   I have therefore limited our comments to those areas where either our members do have an opinion or where our members may be directly affected by the proposed changes.</w:t>
      </w:r>
    </w:p>
    <w:p w:rsidR="00C7670E" w:rsidRPr="003A1BD0" w:rsidRDefault="00C7670E" w:rsidP="00C7670E">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858"/>
      </w:tblGrid>
      <w:tr w:rsidR="00C7670E" w:rsidRPr="003A1BD0" w:rsidTr="003A1BD0">
        <w:tc>
          <w:tcPr>
            <w:tcW w:w="1384" w:type="dxa"/>
            <w:shd w:val="clear" w:color="auto" w:fill="D9D9D9" w:themeFill="background1" w:themeFillShade="D9"/>
          </w:tcPr>
          <w:p w:rsidR="00C7670E" w:rsidRPr="003A1BD0" w:rsidRDefault="00C7670E" w:rsidP="003A1BD0">
            <w:pPr>
              <w:pStyle w:val="Default"/>
              <w:tabs>
                <w:tab w:val="center" w:pos="4513"/>
                <w:tab w:val="right" w:pos="9026"/>
              </w:tabs>
              <w:jc w:val="center"/>
              <w:rPr>
                <w:rFonts w:asciiTheme="minorHAnsi" w:hAnsiTheme="minorHAnsi" w:cstheme="minorHAnsi"/>
                <w:b/>
                <w:sz w:val="22"/>
                <w:szCs w:val="22"/>
              </w:rPr>
            </w:pPr>
            <w:r w:rsidRPr="003A1BD0">
              <w:rPr>
                <w:rFonts w:asciiTheme="minorHAnsi" w:hAnsiTheme="minorHAnsi" w:cstheme="minorHAnsi"/>
                <w:b/>
                <w:sz w:val="22"/>
                <w:szCs w:val="22"/>
              </w:rPr>
              <w:t>Question number</w:t>
            </w:r>
          </w:p>
        </w:tc>
        <w:tc>
          <w:tcPr>
            <w:tcW w:w="7858" w:type="dxa"/>
            <w:shd w:val="clear" w:color="auto" w:fill="D9D9D9" w:themeFill="background1" w:themeFillShade="D9"/>
          </w:tcPr>
          <w:p w:rsidR="00C7670E" w:rsidRPr="003A1BD0" w:rsidRDefault="00C7670E" w:rsidP="003A1BD0">
            <w:pPr>
              <w:pStyle w:val="Default"/>
              <w:tabs>
                <w:tab w:val="center" w:pos="4513"/>
                <w:tab w:val="right" w:pos="9026"/>
              </w:tabs>
              <w:jc w:val="center"/>
              <w:rPr>
                <w:rFonts w:asciiTheme="minorHAnsi" w:hAnsiTheme="minorHAnsi" w:cstheme="minorHAnsi"/>
                <w:b/>
                <w:sz w:val="22"/>
                <w:szCs w:val="22"/>
              </w:rPr>
            </w:pPr>
            <w:r w:rsidRPr="003A1BD0">
              <w:rPr>
                <w:rFonts w:asciiTheme="minorHAnsi" w:hAnsiTheme="minorHAnsi" w:cstheme="minorHAnsi"/>
                <w:b/>
                <w:sz w:val="22"/>
                <w:szCs w:val="22"/>
              </w:rPr>
              <w:t>Submission</w:t>
            </w:r>
          </w:p>
        </w:tc>
      </w:tr>
      <w:tr w:rsidR="00C7670E" w:rsidRPr="003A1BD0" w:rsidTr="00C7670E">
        <w:tc>
          <w:tcPr>
            <w:tcW w:w="1384" w:type="dxa"/>
          </w:tcPr>
          <w:p w:rsidR="00C7670E" w:rsidRPr="003A1BD0" w:rsidRDefault="00C7670E" w:rsidP="00C7670E">
            <w:pPr>
              <w:pStyle w:val="Default"/>
              <w:tabs>
                <w:tab w:val="center" w:pos="4513"/>
                <w:tab w:val="right" w:pos="9026"/>
              </w:tabs>
              <w:jc w:val="center"/>
              <w:rPr>
                <w:rFonts w:asciiTheme="minorHAnsi" w:hAnsiTheme="minorHAnsi" w:cstheme="minorHAnsi"/>
                <w:sz w:val="22"/>
                <w:szCs w:val="22"/>
              </w:rPr>
            </w:pPr>
            <w:r w:rsidRPr="003A1BD0">
              <w:rPr>
                <w:rFonts w:asciiTheme="minorHAnsi" w:hAnsiTheme="minorHAnsi" w:cstheme="minorHAnsi"/>
                <w:sz w:val="22"/>
                <w:szCs w:val="22"/>
              </w:rPr>
              <w:t>1</w:t>
            </w:r>
          </w:p>
        </w:tc>
        <w:tc>
          <w:tcPr>
            <w:tcW w:w="7858" w:type="dxa"/>
          </w:tcPr>
          <w:p w:rsidR="00C7670E" w:rsidRPr="003A1BD0" w:rsidRDefault="00C7670E" w:rsidP="00C7670E">
            <w:pPr>
              <w:tabs>
                <w:tab w:val="center" w:pos="4513"/>
                <w:tab w:val="right" w:pos="9026"/>
              </w:tabs>
              <w:rPr>
                <w:rFonts w:asciiTheme="minorHAnsi" w:hAnsiTheme="minorHAnsi" w:cstheme="minorHAnsi"/>
                <w:color w:val="000000"/>
              </w:rPr>
            </w:pPr>
            <w:r w:rsidRPr="003A1BD0">
              <w:rPr>
                <w:rFonts w:asciiTheme="minorHAnsi" w:hAnsiTheme="minorHAnsi" w:cstheme="minorHAnsi"/>
                <w:color w:val="000000"/>
              </w:rPr>
              <w:t>With the proposed changes to the commentary to Code Standard 1 (</w:t>
            </w:r>
            <w:r w:rsidRPr="003A1BD0">
              <w:rPr>
                <w:rFonts w:asciiTheme="minorHAnsi" w:hAnsiTheme="minorHAnsi" w:cstheme="minorHAnsi"/>
                <w:b/>
                <w:bCs/>
                <w:color w:val="000000"/>
              </w:rPr>
              <w:t>CS1</w:t>
            </w:r>
            <w:r w:rsidRPr="003A1BD0">
              <w:rPr>
                <w:rFonts w:asciiTheme="minorHAnsi" w:hAnsiTheme="minorHAnsi" w:cstheme="minorHAnsi"/>
                <w:color w:val="000000"/>
              </w:rPr>
              <w:t xml:space="preserve">), FSF believes that while this standard should have the "first among equals" status that the Committee is seeking, the proposed statement that a breach of any other CS is likely to also constitute a breach of CS 1 may present problems.  As an example, breaches involving poor administration may not fit well with this concept, as seen with a recent Financial Advisers Disciplinary Committee case, where the CS 1 complaint was dismissed.  Perhaps a better way to illustrate the relationship between CS 1 and the other CSs may be to add a sentence to the effect that: "The other Code Standards should be interpreted in light of Code Standard 1, so that where a Code Standard is ambiguous it should be interpreted in a manner consistent with the obligations to act </w:t>
            </w:r>
            <w:r w:rsidRPr="003A1BD0">
              <w:rPr>
                <w:rFonts w:asciiTheme="minorHAnsi" w:hAnsiTheme="minorHAnsi" w:cstheme="minorHAnsi"/>
                <w:color w:val="000000"/>
              </w:rPr>
              <w:lastRenderedPageBreak/>
              <w:t>in accordance with the client's interests and to act with integrity".</w:t>
            </w:r>
          </w:p>
          <w:p w:rsidR="00C7670E" w:rsidRPr="003A1BD0" w:rsidRDefault="00C7670E" w:rsidP="00C7670E">
            <w:pPr>
              <w:pStyle w:val="Default"/>
              <w:tabs>
                <w:tab w:val="center" w:pos="4513"/>
                <w:tab w:val="right" w:pos="9026"/>
              </w:tabs>
              <w:rPr>
                <w:rFonts w:asciiTheme="minorHAnsi" w:hAnsiTheme="minorHAnsi" w:cstheme="minorHAnsi"/>
                <w:sz w:val="22"/>
                <w:szCs w:val="22"/>
              </w:rPr>
            </w:pPr>
          </w:p>
        </w:tc>
      </w:tr>
      <w:tr w:rsidR="00C7670E" w:rsidRPr="003A1BD0" w:rsidTr="00C7670E">
        <w:tc>
          <w:tcPr>
            <w:tcW w:w="1384" w:type="dxa"/>
          </w:tcPr>
          <w:p w:rsidR="00C7670E" w:rsidRPr="003A1BD0" w:rsidRDefault="00C7670E" w:rsidP="00C7670E">
            <w:pPr>
              <w:pStyle w:val="Default"/>
              <w:tabs>
                <w:tab w:val="center" w:pos="4513"/>
                <w:tab w:val="right" w:pos="9026"/>
              </w:tabs>
              <w:jc w:val="center"/>
              <w:rPr>
                <w:rFonts w:asciiTheme="minorHAnsi" w:hAnsiTheme="minorHAnsi" w:cstheme="minorHAnsi"/>
                <w:sz w:val="22"/>
                <w:szCs w:val="22"/>
              </w:rPr>
            </w:pPr>
            <w:r w:rsidRPr="003A1BD0">
              <w:rPr>
                <w:rFonts w:asciiTheme="minorHAnsi" w:hAnsiTheme="minorHAnsi" w:cstheme="minorHAnsi"/>
                <w:sz w:val="22"/>
                <w:szCs w:val="22"/>
              </w:rPr>
              <w:lastRenderedPageBreak/>
              <w:t>12</w:t>
            </w:r>
          </w:p>
        </w:tc>
        <w:tc>
          <w:tcPr>
            <w:tcW w:w="7858" w:type="dxa"/>
          </w:tcPr>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The FSF submits that in many cases too much paperwork is being produced at present.  However we doubt if the Code Committee’ relatively permissive proposed wording will fix that.  Indeed we suspect that the paperwork will continue to be lengthy until such time as the length is more or less prescribed as a maximum:  that has generally been the experience in respect of risk disclosures in other areas (</w:t>
            </w:r>
            <w:proofErr w:type="spellStart"/>
            <w:r w:rsidRPr="003A1BD0">
              <w:rPr>
                <w:rFonts w:asciiTheme="minorHAnsi" w:hAnsiTheme="minorHAnsi" w:cstheme="minorHAnsi"/>
                <w:sz w:val="22"/>
                <w:szCs w:val="22"/>
              </w:rPr>
              <w:t>eg</w:t>
            </w:r>
            <w:proofErr w:type="spellEnd"/>
            <w:r w:rsidRPr="003A1BD0">
              <w:rPr>
                <w:rFonts w:asciiTheme="minorHAnsi" w:hAnsiTheme="minorHAnsi" w:cstheme="minorHAnsi"/>
                <w:sz w:val="22"/>
                <w:szCs w:val="22"/>
              </w:rPr>
              <w:t xml:space="preserve"> – investment statements) and we would doubt if the explanations, risk disclosures etc required by CS9 will prove much different.  Having said that, advisers (whether they be AFA, registered or working under a QFE structure) should not be providing paperwork for the sake of it.  Clients should be being provided with </w:t>
            </w:r>
            <w:r w:rsidRPr="003A1BD0">
              <w:rPr>
                <w:rFonts w:asciiTheme="minorHAnsi" w:hAnsiTheme="minorHAnsi" w:cstheme="minorHAnsi"/>
                <w:b/>
                <w:sz w:val="22"/>
                <w:szCs w:val="22"/>
              </w:rPr>
              <w:t xml:space="preserve">relevant </w:t>
            </w:r>
            <w:r w:rsidRPr="003A1BD0">
              <w:rPr>
                <w:rFonts w:asciiTheme="minorHAnsi" w:hAnsiTheme="minorHAnsi" w:cstheme="minorHAnsi"/>
                <w:sz w:val="22"/>
                <w:szCs w:val="22"/>
              </w:rPr>
              <w:t xml:space="preserve">information to allow them to make informed decisions.  Paperwork associated with advice should also be seen by advisers to be a protection for them if there is any question later on from the client or regulator as to the advice provided. </w:t>
            </w:r>
          </w:p>
          <w:p w:rsidR="00C7670E" w:rsidRPr="003A1BD0" w:rsidRDefault="00C7670E" w:rsidP="00C7670E">
            <w:pPr>
              <w:pStyle w:val="Default"/>
              <w:tabs>
                <w:tab w:val="center" w:pos="4513"/>
                <w:tab w:val="right" w:pos="9026"/>
              </w:tabs>
              <w:rPr>
                <w:rFonts w:asciiTheme="minorHAnsi" w:hAnsiTheme="minorHAnsi" w:cstheme="minorHAnsi"/>
                <w:sz w:val="22"/>
                <w:szCs w:val="22"/>
              </w:rPr>
            </w:pPr>
          </w:p>
        </w:tc>
      </w:tr>
      <w:tr w:rsidR="00C7670E" w:rsidRPr="003A1BD0" w:rsidTr="00C7670E">
        <w:tc>
          <w:tcPr>
            <w:tcW w:w="1384" w:type="dxa"/>
          </w:tcPr>
          <w:p w:rsidR="00C7670E" w:rsidRPr="003A1BD0" w:rsidRDefault="00C7670E" w:rsidP="00C7670E">
            <w:pPr>
              <w:pStyle w:val="Default"/>
              <w:tabs>
                <w:tab w:val="center" w:pos="4513"/>
                <w:tab w:val="right" w:pos="9026"/>
              </w:tabs>
              <w:jc w:val="center"/>
              <w:rPr>
                <w:rFonts w:asciiTheme="minorHAnsi" w:hAnsiTheme="minorHAnsi" w:cstheme="minorHAnsi"/>
                <w:sz w:val="22"/>
                <w:szCs w:val="22"/>
              </w:rPr>
            </w:pPr>
            <w:r w:rsidRPr="003A1BD0">
              <w:rPr>
                <w:rFonts w:asciiTheme="minorHAnsi" w:hAnsiTheme="minorHAnsi" w:cstheme="minorHAnsi"/>
                <w:sz w:val="22"/>
                <w:szCs w:val="22"/>
              </w:rPr>
              <w:t>16</w:t>
            </w:r>
          </w:p>
        </w:tc>
        <w:tc>
          <w:tcPr>
            <w:tcW w:w="7858" w:type="dxa"/>
          </w:tcPr>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The FSF agrees that AFA’s should remain current as far as ensuring they keep up-to- date with current trends in providing advice, regulatory changes, product developments etc.  However we would question what is intended when the Code Committee states “the AFA has a reasonable basis for believing that the AFA’s competence, knowledge and skills are at least equal to the competence, knowledge and skills required of a person applying to become an AFA at the time the service is provided.”  In the case of other professions such as the law, the qualification taken at the time a person joins the profession may not look the same as the qualification taken by someone joining the profession 10 years later.  We would submit that the purpose of requiring professionals to undertake relevant CPD is to ensure that competence, knowledge and skills are continually updated to current levels.</w:t>
            </w:r>
          </w:p>
          <w:p w:rsidR="00C7670E" w:rsidRPr="003A1BD0" w:rsidRDefault="00C7670E" w:rsidP="00C7670E">
            <w:pPr>
              <w:pStyle w:val="Default"/>
              <w:tabs>
                <w:tab w:val="center" w:pos="4513"/>
                <w:tab w:val="right" w:pos="9026"/>
              </w:tabs>
              <w:rPr>
                <w:rFonts w:asciiTheme="minorHAnsi" w:hAnsiTheme="minorHAnsi" w:cstheme="minorHAnsi"/>
                <w:sz w:val="22"/>
                <w:szCs w:val="22"/>
              </w:rPr>
            </w:pPr>
          </w:p>
        </w:tc>
      </w:tr>
      <w:tr w:rsidR="00C7670E" w:rsidRPr="003A1BD0" w:rsidTr="00C7670E">
        <w:tc>
          <w:tcPr>
            <w:tcW w:w="1384" w:type="dxa"/>
          </w:tcPr>
          <w:p w:rsidR="00C7670E" w:rsidRPr="003A1BD0" w:rsidRDefault="00C7670E" w:rsidP="00C7670E">
            <w:pPr>
              <w:pStyle w:val="Default"/>
              <w:tabs>
                <w:tab w:val="center" w:pos="4513"/>
                <w:tab w:val="right" w:pos="9026"/>
              </w:tabs>
              <w:jc w:val="center"/>
              <w:rPr>
                <w:rFonts w:asciiTheme="minorHAnsi" w:hAnsiTheme="minorHAnsi" w:cstheme="minorHAnsi"/>
                <w:sz w:val="22"/>
                <w:szCs w:val="22"/>
              </w:rPr>
            </w:pPr>
            <w:r w:rsidRPr="003A1BD0">
              <w:rPr>
                <w:rFonts w:asciiTheme="minorHAnsi" w:hAnsiTheme="minorHAnsi" w:cstheme="minorHAnsi"/>
                <w:sz w:val="22"/>
                <w:szCs w:val="22"/>
              </w:rPr>
              <w:t>18</w:t>
            </w:r>
          </w:p>
        </w:tc>
        <w:tc>
          <w:tcPr>
            <w:tcW w:w="7858" w:type="dxa"/>
          </w:tcPr>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 xml:space="preserve">Assuming that Standard Set D (or whatever equivalent is required following the Skills Organisation’s review of the Level 5 National Certificate qualification) is indeed wider than needed for AFAs that deal only with </w:t>
            </w:r>
            <w:proofErr w:type="spellStart"/>
            <w:r w:rsidRPr="003A1BD0">
              <w:rPr>
                <w:rFonts w:asciiTheme="minorHAnsi" w:hAnsiTheme="minorHAnsi" w:cstheme="minorHAnsi"/>
                <w:sz w:val="22"/>
                <w:szCs w:val="22"/>
              </w:rPr>
              <w:t>Kiwisaver</w:t>
            </w:r>
            <w:proofErr w:type="spellEnd"/>
            <w:r w:rsidRPr="003A1BD0">
              <w:rPr>
                <w:rFonts w:asciiTheme="minorHAnsi" w:hAnsiTheme="minorHAnsi" w:cstheme="minorHAnsi"/>
                <w:sz w:val="22"/>
                <w:szCs w:val="22"/>
              </w:rPr>
              <w:t xml:space="preserve"> products, then it may well make sense for there to be a separate “</w:t>
            </w:r>
            <w:proofErr w:type="spellStart"/>
            <w:r w:rsidRPr="003A1BD0">
              <w:rPr>
                <w:rFonts w:asciiTheme="minorHAnsi" w:hAnsiTheme="minorHAnsi" w:cstheme="minorHAnsi"/>
                <w:sz w:val="22"/>
                <w:szCs w:val="22"/>
              </w:rPr>
              <w:t>Kiwisaver</w:t>
            </w:r>
            <w:proofErr w:type="spellEnd"/>
            <w:r w:rsidRPr="003A1BD0">
              <w:rPr>
                <w:rFonts w:asciiTheme="minorHAnsi" w:hAnsiTheme="minorHAnsi" w:cstheme="minorHAnsi"/>
                <w:sz w:val="22"/>
                <w:szCs w:val="22"/>
              </w:rPr>
              <w:t xml:space="preserve"> pathway” or a new “</w:t>
            </w:r>
            <w:proofErr w:type="spellStart"/>
            <w:r w:rsidRPr="003A1BD0">
              <w:rPr>
                <w:rFonts w:asciiTheme="minorHAnsi" w:hAnsiTheme="minorHAnsi" w:cstheme="minorHAnsi"/>
                <w:sz w:val="22"/>
                <w:szCs w:val="22"/>
              </w:rPr>
              <w:t>Kiwisaver</w:t>
            </w:r>
            <w:proofErr w:type="spellEnd"/>
            <w:r w:rsidRPr="003A1BD0">
              <w:rPr>
                <w:rFonts w:asciiTheme="minorHAnsi" w:hAnsiTheme="minorHAnsi" w:cstheme="minorHAnsi"/>
                <w:sz w:val="22"/>
                <w:szCs w:val="22"/>
              </w:rPr>
              <w:t xml:space="preserve"> Certificate”, as the Code Committee suggests.</w:t>
            </w:r>
          </w:p>
          <w:p w:rsidR="00C7670E" w:rsidRPr="003A1BD0" w:rsidRDefault="00C7670E" w:rsidP="00C7670E">
            <w:pPr>
              <w:pStyle w:val="Default"/>
              <w:tabs>
                <w:tab w:val="center" w:pos="4513"/>
                <w:tab w:val="right" w:pos="9026"/>
              </w:tabs>
              <w:rPr>
                <w:rFonts w:asciiTheme="minorHAnsi" w:hAnsiTheme="minorHAnsi" w:cstheme="minorHAnsi"/>
                <w:sz w:val="22"/>
                <w:szCs w:val="22"/>
              </w:rPr>
            </w:pPr>
          </w:p>
        </w:tc>
      </w:tr>
      <w:tr w:rsidR="00C7670E" w:rsidRPr="003A1BD0" w:rsidTr="00C7670E">
        <w:tc>
          <w:tcPr>
            <w:tcW w:w="1384" w:type="dxa"/>
          </w:tcPr>
          <w:p w:rsidR="00C7670E" w:rsidRPr="003A1BD0" w:rsidRDefault="00C7670E" w:rsidP="00C7670E">
            <w:pPr>
              <w:pStyle w:val="Default"/>
              <w:tabs>
                <w:tab w:val="center" w:pos="4513"/>
                <w:tab w:val="right" w:pos="9026"/>
              </w:tabs>
              <w:jc w:val="center"/>
              <w:rPr>
                <w:rFonts w:asciiTheme="minorHAnsi" w:hAnsiTheme="minorHAnsi" w:cstheme="minorHAnsi"/>
                <w:sz w:val="22"/>
                <w:szCs w:val="22"/>
              </w:rPr>
            </w:pPr>
            <w:r w:rsidRPr="003A1BD0">
              <w:rPr>
                <w:rFonts w:asciiTheme="minorHAnsi" w:hAnsiTheme="minorHAnsi" w:cstheme="minorHAnsi"/>
                <w:sz w:val="22"/>
                <w:szCs w:val="22"/>
              </w:rPr>
              <w:t>20</w:t>
            </w:r>
          </w:p>
        </w:tc>
        <w:tc>
          <w:tcPr>
            <w:tcW w:w="7858" w:type="dxa"/>
          </w:tcPr>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Having said that in answer to question 18 above, however, the FSF would doubt it would be sensible for QFEs to be able to substitute for approved training providers in respect of it.</w:t>
            </w:r>
          </w:p>
          <w:p w:rsidR="00C7670E" w:rsidRPr="003A1BD0" w:rsidRDefault="00C7670E" w:rsidP="00C7670E">
            <w:pPr>
              <w:pStyle w:val="Default"/>
              <w:tabs>
                <w:tab w:val="center" w:pos="4513"/>
                <w:tab w:val="right" w:pos="9026"/>
              </w:tabs>
              <w:rPr>
                <w:rFonts w:asciiTheme="minorHAnsi" w:hAnsiTheme="minorHAnsi" w:cstheme="minorHAnsi"/>
                <w:sz w:val="22"/>
                <w:szCs w:val="22"/>
              </w:rPr>
            </w:pPr>
          </w:p>
          <w:p w:rsidR="00C7670E" w:rsidRPr="003A1BD0" w:rsidRDefault="00C7670E" w:rsidP="00C7670E">
            <w:pPr>
              <w:tabs>
                <w:tab w:val="center" w:pos="4513"/>
                <w:tab w:val="right" w:pos="9026"/>
              </w:tabs>
              <w:spacing w:after="120"/>
              <w:rPr>
                <w:rFonts w:asciiTheme="minorHAnsi" w:hAnsiTheme="minorHAnsi" w:cstheme="minorHAnsi"/>
              </w:rPr>
            </w:pPr>
            <w:r w:rsidRPr="003A1BD0">
              <w:rPr>
                <w:rFonts w:asciiTheme="minorHAnsi" w:hAnsiTheme="minorHAnsi" w:cstheme="minorHAnsi"/>
              </w:rPr>
              <w:t>The basis for this view is that firstly, most QFEs are not professional training organisations, so permitting them to provide AFA training would to some degree be at odds with the rest of the AFA qualification regime. However, many larger QFEs do have significant training capacity in house, so that could potentially mitigate this point.</w:t>
            </w:r>
          </w:p>
          <w:p w:rsidR="00C7670E" w:rsidRPr="003A1BD0" w:rsidRDefault="00C7670E" w:rsidP="00C7670E">
            <w:pPr>
              <w:tabs>
                <w:tab w:val="center" w:pos="4513"/>
                <w:tab w:val="right" w:pos="9026"/>
              </w:tabs>
              <w:spacing w:after="120"/>
              <w:rPr>
                <w:rFonts w:asciiTheme="minorHAnsi" w:hAnsiTheme="minorHAnsi" w:cstheme="minorHAnsi"/>
              </w:rPr>
            </w:pPr>
            <w:r w:rsidRPr="003A1BD0">
              <w:rPr>
                <w:rFonts w:asciiTheme="minorHAnsi" w:hAnsiTheme="minorHAnsi" w:cstheme="minorHAnsi"/>
              </w:rPr>
              <w:t xml:space="preserve">However, most QFEs are probably banks, NBDTs or other lenders, insurers or similar organisations, and very likely the only </w:t>
            </w:r>
            <w:proofErr w:type="spellStart"/>
            <w:r w:rsidRPr="003A1BD0">
              <w:rPr>
                <w:rFonts w:asciiTheme="minorHAnsi" w:hAnsiTheme="minorHAnsi" w:cstheme="minorHAnsi"/>
              </w:rPr>
              <w:t>Kiwisaver</w:t>
            </w:r>
            <w:proofErr w:type="spellEnd"/>
            <w:r w:rsidRPr="003A1BD0">
              <w:rPr>
                <w:rFonts w:asciiTheme="minorHAnsi" w:hAnsiTheme="minorHAnsi" w:cstheme="minorHAnsi"/>
              </w:rPr>
              <w:t xml:space="preserve"> products with which many of them are associated are their own. That being so, it does not seem sensible to permit a QFE to grant a certificate that might be used not only for their own </w:t>
            </w:r>
            <w:proofErr w:type="spellStart"/>
            <w:r w:rsidRPr="003A1BD0">
              <w:rPr>
                <w:rFonts w:asciiTheme="minorHAnsi" w:hAnsiTheme="minorHAnsi" w:cstheme="minorHAnsi"/>
              </w:rPr>
              <w:t>Kiwisaver</w:t>
            </w:r>
            <w:proofErr w:type="spellEnd"/>
            <w:r w:rsidRPr="003A1BD0">
              <w:rPr>
                <w:rFonts w:asciiTheme="minorHAnsi" w:hAnsiTheme="minorHAnsi" w:cstheme="minorHAnsi"/>
              </w:rPr>
              <w:t xml:space="preserve"> products but also for others with which not only are they not associated, but with which they may in fact be competitive! The competitive point alone means they are likely to be conflicted in providing such training.</w:t>
            </w:r>
          </w:p>
          <w:p w:rsidR="00C7670E" w:rsidRPr="003A1BD0" w:rsidRDefault="00C7670E" w:rsidP="00C7670E">
            <w:pPr>
              <w:tabs>
                <w:tab w:val="center" w:pos="4513"/>
                <w:tab w:val="right" w:pos="9026"/>
              </w:tabs>
              <w:spacing w:after="120"/>
              <w:rPr>
                <w:rFonts w:asciiTheme="minorHAnsi" w:hAnsiTheme="minorHAnsi" w:cstheme="minorHAnsi"/>
              </w:rPr>
            </w:pPr>
            <w:r w:rsidRPr="003A1BD0">
              <w:rPr>
                <w:rFonts w:asciiTheme="minorHAnsi" w:hAnsiTheme="minorHAnsi" w:cstheme="minorHAnsi"/>
              </w:rPr>
              <w:t xml:space="preserve">As well, such QFEs are probably not likely to be interested in training anyone other </w:t>
            </w:r>
            <w:r w:rsidRPr="003A1BD0">
              <w:rPr>
                <w:rFonts w:asciiTheme="minorHAnsi" w:hAnsiTheme="minorHAnsi" w:cstheme="minorHAnsi"/>
              </w:rPr>
              <w:lastRenderedPageBreak/>
              <w:t xml:space="preserve">than their own staff to sell their own </w:t>
            </w:r>
            <w:proofErr w:type="spellStart"/>
            <w:r w:rsidRPr="003A1BD0">
              <w:rPr>
                <w:rFonts w:asciiTheme="minorHAnsi" w:hAnsiTheme="minorHAnsi" w:cstheme="minorHAnsi"/>
              </w:rPr>
              <w:t>Kiwisaver</w:t>
            </w:r>
            <w:proofErr w:type="spellEnd"/>
            <w:r w:rsidRPr="003A1BD0">
              <w:rPr>
                <w:rFonts w:asciiTheme="minorHAnsi" w:hAnsiTheme="minorHAnsi" w:cstheme="minorHAnsi"/>
              </w:rPr>
              <w:t xml:space="preserve"> products anyway, and if the only </w:t>
            </w:r>
            <w:proofErr w:type="spellStart"/>
            <w:r w:rsidRPr="003A1BD0">
              <w:rPr>
                <w:rFonts w:asciiTheme="minorHAnsi" w:hAnsiTheme="minorHAnsi" w:cstheme="minorHAnsi"/>
              </w:rPr>
              <w:t>Kiwisaver</w:t>
            </w:r>
            <w:proofErr w:type="spellEnd"/>
            <w:r w:rsidRPr="003A1BD0">
              <w:rPr>
                <w:rFonts w:asciiTheme="minorHAnsi" w:hAnsiTheme="minorHAnsi" w:cstheme="minorHAnsi"/>
              </w:rPr>
              <w:t xml:space="preserve"> products with which they are associated are their own then their staff are not required to have an AFA qualification anyway, so one suspects such QFEs are not likely to be very interested in providing training that their own staff do not actually need.</w:t>
            </w:r>
          </w:p>
          <w:p w:rsidR="00C7670E" w:rsidRPr="003A1BD0" w:rsidRDefault="00C7670E" w:rsidP="00C7670E">
            <w:pPr>
              <w:tabs>
                <w:tab w:val="center" w:pos="4513"/>
                <w:tab w:val="right" w:pos="9026"/>
              </w:tabs>
              <w:spacing w:after="120"/>
              <w:rPr>
                <w:rFonts w:asciiTheme="minorHAnsi" w:hAnsiTheme="minorHAnsi" w:cstheme="minorHAnsi"/>
              </w:rPr>
            </w:pPr>
            <w:r w:rsidRPr="003A1BD0">
              <w:rPr>
                <w:rFonts w:asciiTheme="minorHAnsi" w:hAnsiTheme="minorHAnsi" w:cstheme="minorHAnsi"/>
              </w:rPr>
              <w:t>Where a QFE’s staff may in fact be involved with  </w:t>
            </w:r>
            <w:proofErr w:type="spellStart"/>
            <w:r w:rsidRPr="003A1BD0">
              <w:rPr>
                <w:rFonts w:asciiTheme="minorHAnsi" w:hAnsiTheme="minorHAnsi" w:cstheme="minorHAnsi"/>
              </w:rPr>
              <w:t>Kiwisaver</w:t>
            </w:r>
            <w:proofErr w:type="spellEnd"/>
            <w:r w:rsidRPr="003A1BD0">
              <w:rPr>
                <w:rFonts w:asciiTheme="minorHAnsi" w:hAnsiTheme="minorHAnsi" w:cstheme="minorHAnsi"/>
              </w:rPr>
              <w:t xml:space="preserve"> products other than the QFE’s own product so that the AFA qualification is needed, then the conflict point noted above might still be a concern.</w:t>
            </w:r>
          </w:p>
          <w:p w:rsidR="00C7670E" w:rsidRPr="003A1BD0" w:rsidRDefault="00C7670E" w:rsidP="00C7670E">
            <w:pPr>
              <w:tabs>
                <w:tab w:val="center" w:pos="4513"/>
                <w:tab w:val="right" w:pos="9026"/>
              </w:tabs>
              <w:spacing w:after="120"/>
              <w:rPr>
                <w:rFonts w:asciiTheme="minorHAnsi" w:hAnsiTheme="minorHAnsi" w:cstheme="minorHAnsi"/>
              </w:rPr>
            </w:pPr>
            <w:r w:rsidRPr="003A1BD0">
              <w:rPr>
                <w:rFonts w:asciiTheme="minorHAnsi" w:hAnsiTheme="minorHAnsi" w:cstheme="minorHAnsi"/>
              </w:rPr>
              <w:t xml:space="preserve">For those reasons, overall FSF believes that permitting QFEs to be training providers for any proposed new </w:t>
            </w:r>
            <w:proofErr w:type="spellStart"/>
            <w:r w:rsidRPr="003A1BD0">
              <w:rPr>
                <w:rFonts w:asciiTheme="minorHAnsi" w:hAnsiTheme="minorHAnsi" w:cstheme="minorHAnsi"/>
              </w:rPr>
              <w:t>Kiwisaver</w:t>
            </w:r>
            <w:proofErr w:type="spellEnd"/>
            <w:r w:rsidRPr="003A1BD0">
              <w:rPr>
                <w:rFonts w:asciiTheme="minorHAnsi" w:hAnsiTheme="minorHAnsi" w:cstheme="minorHAnsi"/>
              </w:rPr>
              <w:t xml:space="preserve"> certificate might prove to be neither feasible nor sensible in many cases. </w:t>
            </w:r>
          </w:p>
        </w:tc>
      </w:tr>
      <w:tr w:rsidR="00C7670E" w:rsidRPr="003A1BD0" w:rsidTr="00C7670E">
        <w:tc>
          <w:tcPr>
            <w:tcW w:w="1384" w:type="dxa"/>
          </w:tcPr>
          <w:p w:rsidR="00C7670E" w:rsidRPr="003A1BD0" w:rsidRDefault="00C7670E" w:rsidP="00C7670E">
            <w:pPr>
              <w:pStyle w:val="Default"/>
              <w:tabs>
                <w:tab w:val="center" w:pos="4513"/>
                <w:tab w:val="right" w:pos="9026"/>
              </w:tabs>
              <w:jc w:val="center"/>
              <w:rPr>
                <w:rFonts w:asciiTheme="minorHAnsi" w:hAnsiTheme="minorHAnsi" w:cstheme="minorHAnsi"/>
                <w:sz w:val="22"/>
                <w:szCs w:val="22"/>
              </w:rPr>
            </w:pPr>
            <w:r w:rsidRPr="003A1BD0">
              <w:rPr>
                <w:rFonts w:asciiTheme="minorHAnsi" w:hAnsiTheme="minorHAnsi" w:cstheme="minorHAnsi"/>
                <w:sz w:val="22"/>
                <w:szCs w:val="22"/>
              </w:rPr>
              <w:lastRenderedPageBreak/>
              <w:t>21</w:t>
            </w:r>
          </w:p>
        </w:tc>
        <w:tc>
          <w:tcPr>
            <w:tcW w:w="7858" w:type="dxa"/>
          </w:tcPr>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Because the regulatory regime for AFAs is still relatively new for financial advisers, as opposed to the regulatory regimes of (for example) lawyers and accountants, there may not yet be an established consensus as to appropriate standards.  While the Committee's proposals would deal with any risk of a "tick-the-box" approach to CPD issues, this may be an area where increased guidance from the Committee and the FMA could have a useful role in allaying AFAs' concerns.  Although this concern doesn't fit neatly into the Committee's list of questions, this may be an important caveat to note.</w:t>
            </w:r>
          </w:p>
          <w:p w:rsidR="00C7670E" w:rsidRPr="003A1BD0" w:rsidRDefault="00C7670E" w:rsidP="00C7670E">
            <w:pPr>
              <w:pStyle w:val="Default"/>
              <w:tabs>
                <w:tab w:val="center" w:pos="4513"/>
                <w:tab w:val="right" w:pos="9026"/>
              </w:tabs>
              <w:rPr>
                <w:rFonts w:asciiTheme="minorHAnsi" w:hAnsiTheme="minorHAnsi" w:cstheme="minorHAnsi"/>
                <w:sz w:val="22"/>
                <w:szCs w:val="22"/>
              </w:rPr>
            </w:pPr>
          </w:p>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Amending CS18 to remove the distinction between structured and unstructured CPD hours would seem desirable as it has proven to be very confusing for most AFAs to determine which category the CPD they are undertaking falls into.  The suggestion to Increase the number of structured hours of CPD an AFA is required to complete from 10 per annum to 30 over a two year period could perhaps be taken a step further to require them to complete 40 hours of structured CPD over the year period and do away with the idea that any unstructured CPD is required at all.  This would provide clarity to both advisers and CPD providers.</w:t>
            </w:r>
          </w:p>
          <w:p w:rsidR="00C7670E" w:rsidRPr="003A1BD0" w:rsidRDefault="00C7670E" w:rsidP="00C7670E">
            <w:pPr>
              <w:pStyle w:val="Default"/>
              <w:tabs>
                <w:tab w:val="center" w:pos="4513"/>
                <w:tab w:val="right" w:pos="9026"/>
              </w:tabs>
              <w:rPr>
                <w:rFonts w:asciiTheme="minorHAnsi" w:hAnsiTheme="minorHAnsi" w:cstheme="minorHAnsi"/>
                <w:sz w:val="22"/>
                <w:szCs w:val="22"/>
              </w:rPr>
            </w:pPr>
          </w:p>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The FSF would also draw the Committee’s attention to our response to question 16 above.  In order to keep current, it would seem desirable for AFAs to be required to complete sufficient CPD in order to keep current.</w:t>
            </w:r>
          </w:p>
          <w:p w:rsidR="00C7670E" w:rsidRPr="003A1BD0" w:rsidRDefault="00C7670E" w:rsidP="00C7670E">
            <w:pPr>
              <w:pStyle w:val="Default"/>
              <w:tabs>
                <w:tab w:val="center" w:pos="4513"/>
                <w:tab w:val="right" w:pos="9026"/>
              </w:tabs>
              <w:rPr>
                <w:rFonts w:asciiTheme="minorHAnsi" w:hAnsiTheme="minorHAnsi" w:cstheme="minorHAnsi"/>
                <w:sz w:val="22"/>
                <w:szCs w:val="22"/>
              </w:rPr>
            </w:pPr>
            <w:r w:rsidRPr="003A1BD0">
              <w:rPr>
                <w:rFonts w:asciiTheme="minorHAnsi" w:hAnsiTheme="minorHAnsi" w:cstheme="minorHAnsi"/>
                <w:sz w:val="22"/>
                <w:szCs w:val="22"/>
              </w:rPr>
              <w:t xml:space="preserve"> </w:t>
            </w:r>
          </w:p>
        </w:tc>
      </w:tr>
    </w:tbl>
    <w:p w:rsidR="00C7670E" w:rsidRPr="006419B9" w:rsidRDefault="00C7670E" w:rsidP="00C7670E">
      <w:pPr>
        <w:pStyle w:val="Default"/>
      </w:pPr>
    </w:p>
    <w:p w:rsidR="00C7670E" w:rsidRPr="006419B9" w:rsidRDefault="00C7670E" w:rsidP="00C7670E">
      <w:pPr>
        <w:spacing w:after="0" w:line="240" w:lineRule="auto"/>
      </w:pPr>
    </w:p>
    <w:p w:rsidR="006B25D3" w:rsidRDefault="006B25D3" w:rsidP="00B64F95">
      <w:pPr>
        <w:spacing w:after="0" w:line="240" w:lineRule="auto"/>
        <w:jc w:val="both"/>
        <w:rPr>
          <w:rFonts w:asciiTheme="minorHAnsi" w:hAnsiTheme="minorHAnsi" w:cstheme="minorHAnsi"/>
        </w:rPr>
      </w:pPr>
    </w:p>
    <w:p w:rsidR="002F5BEE" w:rsidRPr="00B64F95" w:rsidRDefault="002F5BEE" w:rsidP="00B64F95">
      <w:pPr>
        <w:spacing w:after="0" w:line="240" w:lineRule="auto"/>
        <w:jc w:val="both"/>
        <w:rPr>
          <w:rFonts w:asciiTheme="minorHAnsi" w:hAnsiTheme="minorHAnsi" w:cstheme="minorHAnsi"/>
        </w:rPr>
      </w:pPr>
    </w:p>
    <w:p w:rsidR="00082150" w:rsidRDefault="00082150" w:rsidP="006B25D3">
      <w:pPr>
        <w:pStyle w:val="Footer"/>
        <w:jc w:val="center"/>
        <w:rPr>
          <w:rFonts w:asciiTheme="minorHAnsi" w:hAnsiTheme="minorHAnsi" w:cstheme="minorHAnsi"/>
          <w:b/>
          <w:sz w:val="18"/>
          <w:szCs w:val="18"/>
        </w:rPr>
      </w:pPr>
    </w:p>
    <w:p w:rsidR="00C7670E" w:rsidRDefault="00C7670E" w:rsidP="006B25D3">
      <w:pPr>
        <w:pStyle w:val="Footer"/>
        <w:jc w:val="center"/>
        <w:rPr>
          <w:rFonts w:asciiTheme="minorHAnsi" w:hAnsiTheme="minorHAnsi" w:cstheme="minorHAnsi"/>
          <w:b/>
          <w:sz w:val="18"/>
          <w:szCs w:val="18"/>
        </w:rPr>
      </w:pPr>
    </w:p>
    <w:p w:rsidR="00C7670E" w:rsidRDefault="00C7670E" w:rsidP="006B25D3">
      <w:pPr>
        <w:pStyle w:val="Footer"/>
        <w:jc w:val="center"/>
        <w:rPr>
          <w:rFonts w:asciiTheme="minorHAnsi" w:hAnsiTheme="minorHAnsi" w:cstheme="minorHAnsi"/>
          <w:b/>
          <w:sz w:val="18"/>
          <w:szCs w:val="18"/>
        </w:rPr>
      </w:pPr>
    </w:p>
    <w:p w:rsidR="00C7670E" w:rsidRDefault="00C7670E" w:rsidP="006B25D3">
      <w:pPr>
        <w:pStyle w:val="Footer"/>
        <w:jc w:val="center"/>
        <w:rPr>
          <w:rFonts w:asciiTheme="minorHAnsi" w:hAnsiTheme="minorHAnsi" w:cstheme="minorHAnsi"/>
          <w:b/>
          <w:sz w:val="18"/>
          <w:szCs w:val="18"/>
        </w:rPr>
      </w:pPr>
    </w:p>
    <w:p w:rsidR="00C7670E" w:rsidRDefault="00C7670E" w:rsidP="006B25D3">
      <w:pPr>
        <w:pStyle w:val="Footer"/>
        <w:jc w:val="center"/>
        <w:rPr>
          <w:rFonts w:asciiTheme="minorHAnsi" w:hAnsiTheme="minorHAnsi" w:cstheme="minorHAnsi"/>
          <w:b/>
          <w:sz w:val="18"/>
          <w:szCs w:val="18"/>
        </w:rPr>
      </w:pPr>
    </w:p>
    <w:p w:rsidR="00C7670E" w:rsidRDefault="00C7670E" w:rsidP="006B25D3">
      <w:pPr>
        <w:pStyle w:val="Footer"/>
        <w:jc w:val="center"/>
        <w:rPr>
          <w:rFonts w:asciiTheme="minorHAnsi" w:hAnsiTheme="minorHAnsi" w:cstheme="minorHAnsi"/>
          <w:b/>
          <w:sz w:val="18"/>
          <w:szCs w:val="18"/>
        </w:rPr>
      </w:pPr>
    </w:p>
    <w:p w:rsidR="00C7670E" w:rsidRDefault="00C7670E" w:rsidP="006B25D3">
      <w:pPr>
        <w:pStyle w:val="Footer"/>
        <w:jc w:val="center"/>
        <w:rPr>
          <w:rFonts w:asciiTheme="minorHAnsi" w:hAnsiTheme="minorHAnsi" w:cstheme="minorHAnsi"/>
          <w:b/>
          <w:sz w:val="18"/>
          <w:szCs w:val="18"/>
        </w:rPr>
      </w:pPr>
    </w:p>
    <w:p w:rsidR="00C7670E" w:rsidRDefault="00C7670E" w:rsidP="006B25D3">
      <w:pPr>
        <w:pStyle w:val="Footer"/>
        <w:jc w:val="center"/>
        <w:rPr>
          <w:rFonts w:asciiTheme="minorHAnsi" w:hAnsiTheme="minorHAnsi" w:cstheme="minorHAnsi"/>
          <w:b/>
          <w:sz w:val="18"/>
          <w:szCs w:val="18"/>
        </w:rPr>
      </w:pPr>
    </w:p>
    <w:p w:rsidR="00E82B8E" w:rsidRDefault="00E82B8E" w:rsidP="006B25D3">
      <w:pPr>
        <w:pStyle w:val="Footer"/>
        <w:jc w:val="center"/>
        <w:rPr>
          <w:rFonts w:asciiTheme="minorHAnsi" w:hAnsiTheme="minorHAnsi" w:cstheme="minorHAnsi"/>
          <w:b/>
          <w:sz w:val="18"/>
          <w:szCs w:val="18"/>
        </w:rPr>
      </w:pPr>
    </w:p>
    <w:p w:rsidR="002F5BEE" w:rsidRDefault="002F5BEE" w:rsidP="006B25D3">
      <w:pPr>
        <w:pStyle w:val="Footer"/>
        <w:jc w:val="center"/>
        <w:rPr>
          <w:rFonts w:asciiTheme="minorHAnsi" w:hAnsiTheme="minorHAnsi" w:cstheme="minorHAnsi"/>
          <w:b/>
          <w:sz w:val="18"/>
          <w:szCs w:val="18"/>
        </w:rPr>
      </w:pPr>
    </w:p>
    <w:p w:rsidR="002F5BEE" w:rsidRDefault="002F5BEE" w:rsidP="006B25D3">
      <w:pPr>
        <w:pStyle w:val="Footer"/>
        <w:jc w:val="center"/>
        <w:rPr>
          <w:rFonts w:asciiTheme="minorHAnsi" w:hAnsiTheme="minorHAnsi" w:cstheme="minorHAnsi"/>
          <w:b/>
          <w:sz w:val="18"/>
          <w:szCs w:val="18"/>
        </w:rPr>
      </w:pPr>
    </w:p>
    <w:p w:rsidR="00E82B8E" w:rsidRPr="00B4367F" w:rsidRDefault="00E82B8E" w:rsidP="006B25D3">
      <w:pPr>
        <w:pStyle w:val="Footer"/>
        <w:jc w:val="center"/>
        <w:rPr>
          <w:rFonts w:asciiTheme="minorHAnsi" w:hAnsiTheme="minorHAnsi" w:cstheme="minorHAnsi"/>
          <w:b/>
          <w:sz w:val="18"/>
          <w:szCs w:val="18"/>
        </w:rPr>
      </w:pPr>
    </w:p>
    <w:p w:rsidR="006B25D3" w:rsidRPr="00B4367F" w:rsidRDefault="00120517" w:rsidP="00E82B8E">
      <w:pPr>
        <w:pStyle w:val="Footer"/>
        <w:ind w:left="2880"/>
        <w:rPr>
          <w:rFonts w:asciiTheme="minorHAnsi" w:hAnsiTheme="minorHAnsi" w:cstheme="minorHAnsi"/>
          <w:b/>
          <w:sz w:val="18"/>
          <w:szCs w:val="18"/>
        </w:rPr>
      </w:pPr>
      <w:r>
        <w:rPr>
          <w:rFonts w:asciiTheme="minorHAnsi" w:hAnsiTheme="minorHAnsi" w:cstheme="minorHAnsi"/>
          <w:b/>
          <w:sz w:val="18"/>
          <w:szCs w:val="18"/>
        </w:rPr>
        <w:t xml:space="preserve">     </w:t>
      </w:r>
      <w:r w:rsidR="006B25D3" w:rsidRPr="00B4367F">
        <w:rPr>
          <w:rFonts w:asciiTheme="minorHAnsi" w:hAnsiTheme="minorHAnsi" w:cstheme="minorHAnsi"/>
          <w:b/>
          <w:sz w:val="18"/>
          <w:szCs w:val="18"/>
        </w:rPr>
        <w:t>A National Federation of Financial Institutions</w:t>
      </w:r>
    </w:p>
    <w:p w:rsidR="006B25D3" w:rsidRPr="00B4367F" w:rsidRDefault="00F3735B" w:rsidP="00E82B8E">
      <w:pPr>
        <w:pStyle w:val="Footer"/>
        <w:ind w:left="3600"/>
        <w:rPr>
          <w:rFonts w:asciiTheme="minorHAnsi" w:hAnsiTheme="minorHAnsi" w:cstheme="minorHAnsi"/>
          <w:b/>
          <w:sz w:val="16"/>
        </w:rPr>
      </w:pPr>
      <w:r>
        <w:rPr>
          <w:rFonts w:asciiTheme="minorHAnsi" w:hAnsiTheme="minorHAnsi" w:cstheme="minorHAnsi"/>
          <w:b/>
          <w:noProof/>
          <w:sz w:val="16"/>
          <w:lang w:eastAsia="en-NZ"/>
        </w:rPr>
        <w:pict>
          <v:line id="_x0000_s1028" style="position:absolute;left:0;text-align:left;flip:y;z-index:251660288" from="115.65pt,4.55pt" to="372.15pt,4.65pt" strokecolor="#bf7c1a" strokeweight="1.25pt"/>
        </w:pict>
      </w:r>
      <w:r>
        <w:rPr>
          <w:rFonts w:asciiTheme="minorHAnsi" w:hAnsiTheme="minorHAnsi" w:cstheme="minorHAnsi"/>
          <w:b/>
          <w:sz w:val="16"/>
        </w:rPr>
      </w:r>
      <w:r>
        <w:rPr>
          <w:rFonts w:asciiTheme="minorHAnsi" w:hAnsiTheme="minorHAnsi" w:cstheme="minorHAnsi"/>
          <w:b/>
          <w:sz w:val="16"/>
        </w:rPr>
        <w:pict>
          <v:group id="_x0000_s1026" editas="canvas" style="width:243pt;height:9pt;mso-position-horizontal-relative:char;mso-position-vertical-relative:line" coordorigin="3433,15490" coordsize="4860,180">
            <o:lock v:ext="edit" aspectratio="t"/>
            <v:shape id="_x0000_s1027" type="#_x0000_t75" style="position:absolute;left:3433;top:15490;width:4860;height:180" o:preferrelative="f">
              <v:fill o:detectmouseclick="t"/>
              <v:path o:extrusionok="t" o:connecttype="none"/>
              <o:lock v:ext="edit" text="t"/>
            </v:shape>
            <w10:wrap type="none"/>
            <w10:anchorlock/>
          </v:group>
        </w:pict>
      </w:r>
    </w:p>
    <w:p w:rsidR="006B25D3" w:rsidRPr="00B4367F" w:rsidRDefault="006B25D3" w:rsidP="00E82B8E">
      <w:pPr>
        <w:pStyle w:val="Footer"/>
        <w:jc w:val="center"/>
        <w:rPr>
          <w:rFonts w:asciiTheme="minorHAnsi" w:hAnsiTheme="minorHAnsi" w:cstheme="minorHAnsi"/>
          <w:sz w:val="16"/>
        </w:rPr>
      </w:pPr>
      <w:r w:rsidRPr="00B4367F">
        <w:rPr>
          <w:rFonts w:asciiTheme="minorHAnsi" w:hAnsiTheme="minorHAnsi" w:cstheme="minorHAnsi"/>
          <w:sz w:val="16"/>
        </w:rPr>
        <w:t>Financial Services Federation Inc.</w:t>
      </w:r>
    </w:p>
    <w:p w:rsidR="006B25D3" w:rsidRPr="00B4367F" w:rsidRDefault="006B25D3" w:rsidP="00E82B8E">
      <w:pPr>
        <w:pStyle w:val="Footer"/>
        <w:jc w:val="center"/>
        <w:rPr>
          <w:rFonts w:asciiTheme="minorHAnsi" w:hAnsiTheme="minorHAnsi" w:cstheme="minorHAnsi"/>
          <w:sz w:val="16"/>
        </w:rPr>
      </w:pPr>
      <w:r w:rsidRPr="00B4367F">
        <w:rPr>
          <w:rFonts w:asciiTheme="minorHAnsi" w:hAnsiTheme="minorHAnsi" w:cstheme="minorHAnsi"/>
          <w:sz w:val="16"/>
        </w:rPr>
        <w:t>6</w:t>
      </w:r>
      <w:r w:rsidRPr="00B4367F">
        <w:rPr>
          <w:rFonts w:asciiTheme="minorHAnsi" w:hAnsiTheme="minorHAnsi" w:cstheme="minorHAnsi"/>
          <w:sz w:val="16"/>
          <w:vertAlign w:val="superscript"/>
        </w:rPr>
        <w:t>th</w:t>
      </w:r>
      <w:r w:rsidRPr="00B4367F">
        <w:rPr>
          <w:rFonts w:asciiTheme="minorHAnsi" w:hAnsiTheme="minorHAnsi" w:cstheme="minorHAnsi"/>
          <w:sz w:val="16"/>
        </w:rPr>
        <w:t xml:space="preserve"> Floor, </w:t>
      </w:r>
      <w:smartTag w:uri="urn:schemas-microsoft-com:office:smarttags" w:element="place">
        <w:smartTag w:uri="urn:schemas-microsoft-com:office:smarttags" w:element="City">
          <w:r w:rsidRPr="00B4367F">
            <w:rPr>
              <w:rFonts w:asciiTheme="minorHAnsi" w:hAnsiTheme="minorHAnsi" w:cstheme="minorHAnsi"/>
              <w:sz w:val="16"/>
            </w:rPr>
            <w:t>Wakefield</w:t>
          </w:r>
        </w:smartTag>
      </w:smartTag>
      <w:r w:rsidRPr="00B4367F">
        <w:rPr>
          <w:rFonts w:asciiTheme="minorHAnsi" w:hAnsiTheme="minorHAnsi" w:cstheme="minorHAnsi"/>
          <w:sz w:val="16"/>
        </w:rPr>
        <w:t xml:space="preserve"> House, 90 The Terrace, PO Box 10-053</w:t>
      </w:r>
    </w:p>
    <w:p w:rsidR="006B25D3" w:rsidRPr="00B4367F" w:rsidRDefault="006B25D3" w:rsidP="00E82B8E">
      <w:pPr>
        <w:pStyle w:val="Footer"/>
        <w:jc w:val="center"/>
        <w:rPr>
          <w:rFonts w:asciiTheme="minorHAnsi" w:hAnsiTheme="minorHAnsi" w:cstheme="minorHAnsi"/>
          <w:sz w:val="16"/>
        </w:rPr>
      </w:pPr>
      <w:r w:rsidRPr="00B4367F">
        <w:rPr>
          <w:rFonts w:asciiTheme="minorHAnsi" w:hAnsiTheme="minorHAnsi" w:cstheme="minorHAnsi"/>
          <w:sz w:val="16"/>
        </w:rPr>
        <w:t>Telephone (04) 472 1731, Fax (04) 472 1732, Wellington  6143</w:t>
      </w:r>
    </w:p>
    <w:p w:rsidR="006B25D3" w:rsidRDefault="00F3735B" w:rsidP="00E82B8E">
      <w:pPr>
        <w:pStyle w:val="Footer"/>
        <w:jc w:val="center"/>
        <w:rPr>
          <w:rFonts w:asciiTheme="minorHAnsi" w:hAnsiTheme="minorHAnsi" w:cstheme="minorHAnsi"/>
          <w:sz w:val="16"/>
        </w:rPr>
      </w:pPr>
      <w:hyperlink r:id="rId9" w:history="1">
        <w:r w:rsidR="006B25D3" w:rsidRPr="00B4367F">
          <w:rPr>
            <w:rStyle w:val="Hyperlink"/>
            <w:rFonts w:asciiTheme="minorHAnsi" w:hAnsiTheme="minorHAnsi" w:cstheme="minorHAnsi"/>
            <w:sz w:val="16"/>
          </w:rPr>
          <w:t>www.fsf.org.nz</w:t>
        </w:r>
      </w:hyperlink>
    </w:p>
    <w:p w:rsidR="008D13FB" w:rsidRDefault="008D13FB" w:rsidP="00E82B8E">
      <w:pPr>
        <w:pStyle w:val="Default"/>
        <w:jc w:val="center"/>
        <w:rPr>
          <w:rFonts w:ascii="Arial" w:hAnsi="Arial" w:cs="Arial"/>
          <w:b/>
          <w:sz w:val="28"/>
          <w:szCs w:val="28"/>
        </w:rPr>
        <w:sectPr w:rsidR="008D13FB" w:rsidSect="00E305DC">
          <w:footerReference w:type="default" r:id="rId10"/>
          <w:pgSz w:w="11906" w:h="16838"/>
          <w:pgMar w:top="851" w:right="1077" w:bottom="709" w:left="1077" w:header="709" w:footer="709" w:gutter="0"/>
          <w:cols w:space="708"/>
          <w:docGrid w:linePitch="360"/>
        </w:sectPr>
      </w:pPr>
    </w:p>
    <w:p w:rsidR="00C7670E" w:rsidRPr="003A1BD0" w:rsidRDefault="00C7670E" w:rsidP="00C7670E">
      <w:pPr>
        <w:jc w:val="center"/>
        <w:rPr>
          <w:rFonts w:asciiTheme="minorHAnsi" w:hAnsiTheme="minorHAnsi" w:cstheme="minorHAnsi"/>
          <w:b/>
        </w:rPr>
      </w:pPr>
      <w:r w:rsidRPr="003A1BD0">
        <w:rPr>
          <w:rFonts w:asciiTheme="minorHAnsi" w:hAnsiTheme="minorHAnsi" w:cstheme="minorHAnsi"/>
          <w:b/>
        </w:rPr>
        <w:lastRenderedPageBreak/>
        <w:t>Membership List as at 1</w:t>
      </w:r>
      <w:r w:rsidRPr="003A1BD0">
        <w:rPr>
          <w:rFonts w:asciiTheme="minorHAnsi" w:hAnsiTheme="minorHAnsi" w:cstheme="minorHAnsi"/>
          <w:b/>
          <w:vertAlign w:val="superscript"/>
        </w:rPr>
        <w:t>st</w:t>
      </w:r>
      <w:r w:rsidRPr="003A1BD0">
        <w:rPr>
          <w:rFonts w:asciiTheme="minorHAnsi" w:hAnsiTheme="minorHAnsi" w:cstheme="minorHAnsi"/>
          <w:b/>
        </w:rPr>
        <w:t xml:space="preserve"> August  2013</w:t>
      </w:r>
    </w:p>
    <w:tbl>
      <w:tblPr>
        <w:tblW w:w="15934"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1"/>
        <w:gridCol w:w="2806"/>
        <w:gridCol w:w="2605"/>
        <w:gridCol w:w="2344"/>
        <w:gridCol w:w="2245"/>
        <w:gridCol w:w="2653"/>
      </w:tblGrid>
      <w:tr w:rsidR="00C7670E" w:rsidRPr="003A1BD0" w:rsidTr="00C7670E">
        <w:trPr>
          <w:jc w:val="center"/>
        </w:trPr>
        <w:tc>
          <w:tcPr>
            <w:tcW w:w="3281" w:type="dxa"/>
            <w:shd w:val="clear" w:color="auto" w:fill="D9D9D9" w:themeFill="background1" w:themeFillShade="D9"/>
          </w:tcPr>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Debenture Issuers - (NBDT)</w:t>
            </w:r>
          </w:p>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Non-Bank Deposit Takers</w:t>
            </w:r>
          </w:p>
        </w:tc>
        <w:tc>
          <w:tcPr>
            <w:tcW w:w="2806" w:type="dxa"/>
            <w:shd w:val="clear" w:color="auto" w:fill="D9D9D9" w:themeFill="background1" w:themeFillShade="D9"/>
          </w:tcPr>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Vehicle Lenders</w:t>
            </w:r>
          </w:p>
        </w:tc>
        <w:tc>
          <w:tcPr>
            <w:tcW w:w="2605" w:type="dxa"/>
            <w:shd w:val="clear" w:color="auto" w:fill="D9D9D9" w:themeFill="background1" w:themeFillShade="D9"/>
          </w:tcPr>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 xml:space="preserve">Finance Company </w:t>
            </w:r>
          </w:p>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Diversified Lenders</w:t>
            </w:r>
          </w:p>
        </w:tc>
        <w:tc>
          <w:tcPr>
            <w:tcW w:w="2344" w:type="dxa"/>
            <w:shd w:val="clear" w:color="auto" w:fill="D9D9D9" w:themeFill="background1" w:themeFillShade="D9"/>
          </w:tcPr>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Credit Reporting</w:t>
            </w:r>
          </w:p>
          <w:p w:rsidR="00C7670E" w:rsidRPr="003A1BD0" w:rsidRDefault="00C7670E" w:rsidP="00C7670E">
            <w:pPr>
              <w:tabs>
                <w:tab w:val="center" w:pos="4513"/>
                <w:tab w:val="right" w:pos="9026"/>
              </w:tabs>
              <w:jc w:val="center"/>
              <w:rPr>
                <w:rFonts w:asciiTheme="minorHAnsi" w:hAnsiTheme="minorHAnsi" w:cstheme="minorHAnsi"/>
                <w:b/>
                <w:sz w:val="20"/>
                <w:szCs w:val="20"/>
              </w:rPr>
            </w:pPr>
          </w:p>
        </w:tc>
        <w:tc>
          <w:tcPr>
            <w:tcW w:w="2245" w:type="dxa"/>
            <w:shd w:val="clear" w:color="auto" w:fill="D9D9D9" w:themeFill="background1" w:themeFillShade="D9"/>
          </w:tcPr>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Insurance</w:t>
            </w:r>
          </w:p>
        </w:tc>
        <w:tc>
          <w:tcPr>
            <w:tcW w:w="2653" w:type="dxa"/>
            <w:shd w:val="clear" w:color="auto" w:fill="D9D9D9" w:themeFill="background1" w:themeFillShade="D9"/>
          </w:tcPr>
          <w:p w:rsidR="00C7670E" w:rsidRPr="003A1BD0" w:rsidRDefault="00C7670E" w:rsidP="00C7670E">
            <w:pPr>
              <w:tabs>
                <w:tab w:val="center" w:pos="4513"/>
                <w:tab w:val="right" w:pos="9026"/>
              </w:tabs>
              <w:jc w:val="center"/>
              <w:rPr>
                <w:rFonts w:asciiTheme="minorHAnsi" w:hAnsiTheme="minorHAnsi" w:cstheme="minorHAnsi"/>
                <w:b/>
                <w:sz w:val="20"/>
                <w:szCs w:val="20"/>
              </w:rPr>
            </w:pPr>
            <w:r w:rsidRPr="003A1BD0">
              <w:rPr>
                <w:rFonts w:asciiTheme="minorHAnsi" w:hAnsiTheme="minorHAnsi" w:cstheme="minorHAnsi"/>
                <w:b/>
                <w:sz w:val="20"/>
                <w:szCs w:val="20"/>
              </w:rPr>
              <w:t>Affiliate Members</w:t>
            </w:r>
          </w:p>
          <w:p w:rsidR="00C7670E" w:rsidRPr="003A1BD0" w:rsidRDefault="00C7670E" w:rsidP="00C7670E">
            <w:pPr>
              <w:tabs>
                <w:tab w:val="center" w:pos="4513"/>
                <w:tab w:val="right" w:pos="9026"/>
              </w:tabs>
              <w:jc w:val="center"/>
              <w:rPr>
                <w:rFonts w:asciiTheme="minorHAnsi" w:hAnsiTheme="minorHAnsi" w:cstheme="minorHAnsi"/>
                <w:b/>
                <w:sz w:val="20"/>
                <w:szCs w:val="20"/>
              </w:rPr>
            </w:pPr>
          </w:p>
        </w:tc>
      </w:tr>
      <w:tr w:rsidR="00C7670E" w:rsidRPr="003A1BD0" w:rsidTr="00C7670E">
        <w:trPr>
          <w:trHeight w:val="7299"/>
          <w:jc w:val="center"/>
        </w:trPr>
        <w:tc>
          <w:tcPr>
            <w:tcW w:w="3281" w:type="dxa"/>
          </w:tcPr>
          <w:p w:rsidR="00C7670E" w:rsidRPr="003A1BD0" w:rsidRDefault="00C7670E" w:rsidP="00C7670E">
            <w:pPr>
              <w:tabs>
                <w:tab w:val="center" w:pos="4513"/>
                <w:tab w:val="right" w:pos="9026"/>
              </w:tabs>
              <w:rPr>
                <w:rFonts w:asciiTheme="minorHAnsi" w:hAnsiTheme="minorHAnsi" w:cstheme="minorHAnsi"/>
                <w:b/>
                <w:color w:val="FF0000"/>
                <w:sz w:val="20"/>
                <w:szCs w:val="20"/>
                <w:u w:val="single"/>
              </w:rPr>
            </w:pPr>
          </w:p>
          <w:p w:rsidR="00C7670E" w:rsidRPr="003A1BD0" w:rsidRDefault="00C7670E" w:rsidP="00C7670E">
            <w:pPr>
              <w:tabs>
                <w:tab w:val="center" w:pos="4513"/>
                <w:tab w:val="right" w:pos="9026"/>
              </w:tabs>
              <w:rPr>
                <w:rFonts w:asciiTheme="minorHAnsi" w:hAnsiTheme="minorHAnsi" w:cstheme="minorHAnsi"/>
                <w:b/>
                <w:color w:val="FF0000"/>
                <w:sz w:val="20"/>
                <w:szCs w:val="20"/>
                <w:u w:val="single"/>
              </w:rPr>
            </w:pPr>
            <w:r w:rsidRPr="003A1BD0">
              <w:rPr>
                <w:rFonts w:asciiTheme="minorHAnsi" w:hAnsiTheme="minorHAnsi" w:cstheme="minorHAnsi"/>
                <w:b/>
                <w:color w:val="FF0000"/>
                <w:sz w:val="20"/>
                <w:szCs w:val="20"/>
                <w:u w:val="single"/>
              </w:rPr>
              <w:t>Rated</w:t>
            </w:r>
          </w:p>
          <w:p w:rsidR="00C7670E" w:rsidRPr="003A1BD0" w:rsidRDefault="00C7670E" w:rsidP="00C7670E">
            <w:pPr>
              <w:pStyle w:val="ListParagraph"/>
              <w:numPr>
                <w:ilvl w:val="0"/>
                <w:numId w:val="1"/>
              </w:numPr>
              <w:spacing w:after="80" w:line="240" w:lineRule="auto"/>
              <w:ind w:left="357" w:hanging="357"/>
              <w:rPr>
                <w:rFonts w:asciiTheme="minorHAnsi" w:hAnsiTheme="minorHAnsi" w:cstheme="minorHAnsi"/>
                <w:sz w:val="20"/>
                <w:szCs w:val="20"/>
              </w:rPr>
            </w:pPr>
            <w:r w:rsidRPr="003A1BD0">
              <w:rPr>
                <w:rFonts w:asciiTheme="minorHAnsi" w:hAnsiTheme="minorHAnsi" w:cstheme="minorHAnsi"/>
                <w:sz w:val="20"/>
                <w:szCs w:val="20"/>
              </w:rPr>
              <w:t xml:space="preserve">Asset Finance </w:t>
            </w:r>
            <w:r w:rsidRPr="003A1BD0">
              <w:rPr>
                <w:rFonts w:asciiTheme="minorHAnsi" w:hAnsiTheme="minorHAnsi" w:cstheme="minorHAnsi"/>
                <w:color w:val="FF0000"/>
                <w:sz w:val="20"/>
                <w:szCs w:val="20"/>
              </w:rPr>
              <w:t>(B)</w:t>
            </w:r>
          </w:p>
          <w:p w:rsidR="00C7670E" w:rsidRPr="003A1BD0" w:rsidRDefault="00C7670E" w:rsidP="00C7670E">
            <w:pPr>
              <w:pStyle w:val="ListParagraph"/>
              <w:numPr>
                <w:ilvl w:val="0"/>
                <w:numId w:val="1"/>
              </w:numPr>
              <w:spacing w:after="80" w:line="240" w:lineRule="auto"/>
              <w:ind w:left="357" w:hanging="357"/>
              <w:rPr>
                <w:rFonts w:asciiTheme="minorHAnsi" w:hAnsiTheme="minorHAnsi" w:cstheme="minorHAnsi"/>
                <w:sz w:val="20"/>
                <w:szCs w:val="20"/>
              </w:rPr>
            </w:pPr>
            <w:r w:rsidRPr="003A1BD0">
              <w:rPr>
                <w:rFonts w:asciiTheme="minorHAnsi" w:hAnsiTheme="minorHAnsi" w:cstheme="minorHAnsi"/>
                <w:sz w:val="20"/>
                <w:szCs w:val="20"/>
              </w:rPr>
              <w:t xml:space="preserve">Avanti Finance </w:t>
            </w:r>
            <w:r w:rsidRPr="003A1BD0">
              <w:rPr>
                <w:rFonts w:asciiTheme="minorHAnsi" w:hAnsiTheme="minorHAnsi" w:cstheme="minorHAnsi"/>
                <w:color w:val="FF0000"/>
                <w:sz w:val="20"/>
                <w:szCs w:val="20"/>
              </w:rPr>
              <w:t>(BB)</w:t>
            </w:r>
          </w:p>
          <w:p w:rsidR="00C7670E" w:rsidRPr="003A1BD0" w:rsidRDefault="00C7670E" w:rsidP="00C7670E">
            <w:pPr>
              <w:pStyle w:val="ListParagraph"/>
              <w:numPr>
                <w:ilvl w:val="0"/>
                <w:numId w:val="1"/>
              </w:numPr>
              <w:spacing w:after="80" w:line="240" w:lineRule="auto"/>
              <w:ind w:left="357" w:hanging="357"/>
              <w:rPr>
                <w:rFonts w:asciiTheme="minorHAnsi" w:hAnsiTheme="minorHAnsi" w:cstheme="minorHAnsi"/>
                <w:sz w:val="20"/>
                <w:szCs w:val="20"/>
              </w:rPr>
            </w:pPr>
            <w:r w:rsidRPr="003A1BD0">
              <w:rPr>
                <w:rFonts w:asciiTheme="minorHAnsi" w:hAnsiTheme="minorHAnsi" w:cstheme="minorHAnsi"/>
                <w:sz w:val="20"/>
                <w:szCs w:val="20"/>
              </w:rPr>
              <w:t xml:space="preserve">Fisher &amp; Paykel Finance </w:t>
            </w:r>
            <w:r w:rsidRPr="003A1BD0">
              <w:rPr>
                <w:rFonts w:asciiTheme="minorHAnsi" w:hAnsiTheme="minorHAnsi" w:cstheme="minorHAnsi"/>
                <w:color w:val="FF0000"/>
                <w:sz w:val="20"/>
                <w:szCs w:val="20"/>
              </w:rPr>
              <w:t>(BB+)</w:t>
            </w:r>
            <w:r w:rsidRPr="003A1BD0">
              <w:rPr>
                <w:rFonts w:asciiTheme="minorHAnsi" w:hAnsiTheme="minorHAnsi" w:cstheme="minorHAnsi"/>
                <w:sz w:val="20"/>
                <w:szCs w:val="20"/>
              </w:rPr>
              <w:t xml:space="preserve"> </w:t>
            </w:r>
          </w:p>
          <w:p w:rsidR="00C7670E" w:rsidRPr="003A1BD0" w:rsidRDefault="00C7670E" w:rsidP="00C7670E">
            <w:pPr>
              <w:pStyle w:val="ListParagraph"/>
              <w:numPr>
                <w:ilvl w:val="0"/>
                <w:numId w:val="1"/>
              </w:numPr>
              <w:spacing w:after="80" w:line="240" w:lineRule="auto"/>
              <w:ind w:left="357" w:hanging="357"/>
              <w:rPr>
                <w:rFonts w:asciiTheme="minorHAnsi" w:hAnsiTheme="minorHAnsi" w:cstheme="minorHAnsi"/>
                <w:sz w:val="20"/>
                <w:szCs w:val="20"/>
              </w:rPr>
            </w:pPr>
            <w:r w:rsidRPr="003A1BD0">
              <w:rPr>
                <w:rFonts w:asciiTheme="minorHAnsi" w:hAnsiTheme="minorHAnsi" w:cstheme="minorHAnsi"/>
                <w:sz w:val="20"/>
                <w:szCs w:val="20"/>
              </w:rPr>
              <w:t xml:space="preserve">Medical Securities </w:t>
            </w:r>
            <w:r w:rsidRPr="003A1BD0">
              <w:rPr>
                <w:rFonts w:asciiTheme="minorHAnsi" w:hAnsiTheme="minorHAnsi" w:cstheme="minorHAnsi"/>
                <w:color w:val="FF0000"/>
                <w:sz w:val="20"/>
                <w:szCs w:val="20"/>
              </w:rPr>
              <w:t>(A-)</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tabs>
                <w:tab w:val="center" w:pos="4513"/>
                <w:tab w:val="right" w:pos="9026"/>
              </w:tabs>
              <w:rPr>
                <w:rFonts w:asciiTheme="minorHAnsi" w:hAnsiTheme="minorHAnsi" w:cstheme="minorHAnsi"/>
                <w:b/>
                <w:sz w:val="20"/>
                <w:szCs w:val="20"/>
                <w:u w:val="single"/>
              </w:rPr>
            </w:pPr>
            <w:r w:rsidRPr="003A1BD0">
              <w:rPr>
                <w:rFonts w:asciiTheme="minorHAnsi" w:hAnsiTheme="minorHAnsi" w:cstheme="minorHAnsi"/>
                <w:b/>
                <w:sz w:val="20"/>
                <w:szCs w:val="20"/>
                <w:u w:val="single"/>
              </w:rPr>
              <w:t>Non-Rated</w:t>
            </w:r>
          </w:p>
          <w:p w:rsidR="00C7670E" w:rsidRPr="003A1BD0" w:rsidRDefault="00C7670E" w:rsidP="00C7670E">
            <w:pPr>
              <w:pStyle w:val="ListParagraph"/>
              <w:numPr>
                <w:ilvl w:val="0"/>
                <w:numId w:val="1"/>
              </w:numPr>
              <w:spacing w:after="80" w:line="240" w:lineRule="auto"/>
              <w:ind w:left="357" w:hanging="357"/>
              <w:rPr>
                <w:rFonts w:asciiTheme="minorHAnsi" w:hAnsiTheme="minorHAnsi" w:cstheme="minorHAnsi"/>
                <w:sz w:val="20"/>
                <w:szCs w:val="20"/>
              </w:rPr>
            </w:pPr>
            <w:r w:rsidRPr="003A1BD0">
              <w:rPr>
                <w:rFonts w:asciiTheme="minorHAnsi" w:hAnsiTheme="minorHAnsi" w:cstheme="minorHAnsi"/>
                <w:sz w:val="20"/>
                <w:szCs w:val="20"/>
              </w:rPr>
              <w:t xml:space="preserve">Mutual Credit Finance </w:t>
            </w:r>
          </w:p>
          <w:p w:rsidR="00C7670E" w:rsidRPr="003A1BD0" w:rsidRDefault="00C7670E" w:rsidP="00C7670E">
            <w:pPr>
              <w:pStyle w:val="ListParagraph"/>
              <w:numPr>
                <w:ilvl w:val="0"/>
                <w:numId w:val="1"/>
              </w:numPr>
              <w:spacing w:after="80" w:line="240" w:lineRule="auto"/>
              <w:ind w:left="357" w:hanging="357"/>
              <w:rPr>
                <w:rFonts w:asciiTheme="minorHAnsi" w:hAnsiTheme="minorHAnsi" w:cstheme="minorHAnsi"/>
                <w:sz w:val="20"/>
                <w:szCs w:val="20"/>
              </w:rPr>
            </w:pPr>
            <w:r w:rsidRPr="003A1BD0">
              <w:rPr>
                <w:rFonts w:asciiTheme="minorHAnsi" w:hAnsiTheme="minorHAnsi" w:cstheme="minorHAnsi"/>
                <w:sz w:val="20"/>
                <w:szCs w:val="20"/>
              </w:rPr>
              <w:t xml:space="preserve">Prometheus Finance </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tabs>
                <w:tab w:val="center" w:pos="4513"/>
                <w:tab w:val="right" w:pos="9026"/>
              </w:tabs>
              <w:rPr>
                <w:rFonts w:asciiTheme="minorHAnsi" w:hAnsiTheme="minorHAnsi" w:cstheme="minorHAnsi"/>
                <w:sz w:val="20"/>
                <w:szCs w:val="20"/>
              </w:rPr>
            </w:pPr>
          </w:p>
        </w:tc>
        <w:tc>
          <w:tcPr>
            <w:tcW w:w="2806" w:type="dxa"/>
          </w:tcPr>
          <w:p w:rsidR="00C7670E" w:rsidRPr="003A1BD0" w:rsidRDefault="00C7670E" w:rsidP="00C7670E">
            <w:pPr>
              <w:pStyle w:val="ListParagraph"/>
              <w:tabs>
                <w:tab w:val="center" w:pos="4513"/>
                <w:tab w:val="right" w:pos="9026"/>
              </w:tabs>
              <w:ind w:left="360"/>
              <w:rPr>
                <w:rFonts w:asciiTheme="minorHAnsi" w:hAnsiTheme="minorHAnsi" w:cstheme="minorHAnsi"/>
                <w:sz w:val="20"/>
                <w:szCs w:val="20"/>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BMW Financial Services</w:t>
            </w:r>
          </w:p>
          <w:p w:rsidR="00C7670E" w:rsidRPr="003A1BD0" w:rsidRDefault="00C7670E" w:rsidP="00C7670E">
            <w:pPr>
              <w:tabs>
                <w:tab w:val="center" w:pos="4513"/>
                <w:tab w:val="right" w:pos="9026"/>
              </w:tabs>
              <w:rPr>
                <w:rFonts w:asciiTheme="minorHAnsi" w:hAnsiTheme="minorHAnsi" w:cstheme="minorHAnsi"/>
                <w:sz w:val="10"/>
                <w:szCs w:val="10"/>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Branded Financial Services</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European Financial Services</w:t>
            </w:r>
          </w:p>
          <w:p w:rsidR="00C7670E" w:rsidRPr="003A1BD0" w:rsidRDefault="00C7670E" w:rsidP="00C7670E">
            <w:pPr>
              <w:pStyle w:val="ListParagraph"/>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Mercedes-Benz Financial Services</w:t>
            </w:r>
          </w:p>
          <w:p w:rsidR="00C7670E" w:rsidRPr="003A1BD0" w:rsidRDefault="00C7670E" w:rsidP="00C7670E">
            <w:pPr>
              <w:pStyle w:val="ListParagraph"/>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Motor Trade Finances</w:t>
            </w:r>
          </w:p>
          <w:p w:rsidR="00C7670E" w:rsidRPr="003A1BD0" w:rsidRDefault="00C7670E" w:rsidP="00C7670E">
            <w:pPr>
              <w:pStyle w:val="ListParagraph"/>
              <w:tabs>
                <w:tab w:val="center" w:pos="4513"/>
                <w:tab w:val="right" w:pos="9026"/>
              </w:tabs>
              <w:rPr>
                <w:rFonts w:asciiTheme="minorHAnsi" w:hAnsiTheme="minorHAnsi" w:cstheme="minorHAnsi"/>
                <w:sz w:val="20"/>
                <w:szCs w:val="20"/>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Nissan Financial Services NZ Pty Ltd</w:t>
            </w:r>
          </w:p>
          <w:p w:rsidR="00C7670E" w:rsidRPr="003A1BD0" w:rsidRDefault="00C7670E" w:rsidP="00C7670E">
            <w:pPr>
              <w:pStyle w:val="ListParagraph"/>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ORIX NZ</w:t>
            </w:r>
          </w:p>
          <w:p w:rsidR="00C7670E" w:rsidRPr="003A1BD0" w:rsidRDefault="00C7670E" w:rsidP="00C7670E">
            <w:pPr>
              <w:pStyle w:val="ListParagraph"/>
              <w:tabs>
                <w:tab w:val="center" w:pos="4513"/>
                <w:tab w:val="right" w:pos="9026"/>
              </w:tabs>
              <w:rPr>
                <w:rFonts w:asciiTheme="minorHAnsi" w:hAnsiTheme="minorHAnsi" w:cstheme="minorHAnsi"/>
                <w:sz w:val="12"/>
                <w:szCs w:val="12"/>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SG Fleet</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Toyota Finance NZ</w:t>
            </w:r>
          </w:p>
          <w:p w:rsidR="00C7670E" w:rsidRPr="003A1BD0" w:rsidRDefault="00C7670E" w:rsidP="00C7670E">
            <w:pPr>
              <w:pStyle w:val="ListParagraph"/>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 xml:space="preserve">Yamaha Motor Finance </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tabs>
                <w:tab w:val="center" w:pos="4513"/>
                <w:tab w:val="right" w:pos="9026"/>
              </w:tabs>
              <w:rPr>
                <w:rFonts w:asciiTheme="minorHAnsi" w:hAnsiTheme="minorHAnsi" w:cstheme="minorHAnsi"/>
                <w:sz w:val="20"/>
                <w:szCs w:val="20"/>
              </w:rPr>
            </w:pPr>
          </w:p>
        </w:tc>
        <w:tc>
          <w:tcPr>
            <w:tcW w:w="2605" w:type="dxa"/>
          </w:tcPr>
          <w:p w:rsidR="00C7670E" w:rsidRPr="003A1BD0" w:rsidRDefault="00C7670E" w:rsidP="00C7670E">
            <w:pPr>
              <w:pStyle w:val="ListParagraph"/>
              <w:tabs>
                <w:tab w:val="center" w:pos="4513"/>
                <w:tab w:val="right" w:pos="9026"/>
              </w:tabs>
              <w:ind w:left="360"/>
              <w:rPr>
                <w:rFonts w:asciiTheme="minorHAnsi" w:hAnsiTheme="minorHAnsi" w:cstheme="minorHAnsi"/>
                <w:sz w:val="20"/>
                <w:szCs w:val="20"/>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Centracorp Finance 2000</w:t>
            </w:r>
          </w:p>
          <w:p w:rsidR="00C7670E" w:rsidRPr="003A1BD0" w:rsidRDefault="00C7670E" w:rsidP="00C7670E">
            <w:pPr>
              <w:pStyle w:val="ListParagraph"/>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Dorchester Finance</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 xml:space="preserve">Equico Limited </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Finance Now</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Future Finance</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GE Capital</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Instant Finance</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 xml:space="preserve">John Deere Financial </w:t>
            </w:r>
          </w:p>
          <w:p w:rsidR="00C7670E" w:rsidRPr="003A1BD0" w:rsidRDefault="00C7670E" w:rsidP="00C7670E">
            <w:pPr>
              <w:pStyle w:val="ListParagraph"/>
              <w:tabs>
                <w:tab w:val="center" w:pos="4513"/>
                <w:tab w:val="right" w:pos="9026"/>
              </w:tabs>
              <w:rPr>
                <w:rFonts w:asciiTheme="minorHAnsi" w:hAnsiTheme="minorHAnsi" w:cstheme="minorHAnsi"/>
                <w:sz w:val="16"/>
                <w:szCs w:val="16"/>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 xml:space="preserve">Oxford Finance Ltd  </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Rent Plus</w:t>
            </w:r>
          </w:p>
          <w:p w:rsidR="00C7670E" w:rsidRPr="003A1BD0" w:rsidRDefault="00C7670E" w:rsidP="00C7670E">
            <w:pPr>
              <w:pStyle w:val="ListParagraph"/>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DTR Thorn Rentals</w:t>
            </w:r>
          </w:p>
        </w:tc>
        <w:tc>
          <w:tcPr>
            <w:tcW w:w="2344" w:type="dxa"/>
          </w:tcPr>
          <w:p w:rsidR="00C7670E" w:rsidRPr="003A1BD0" w:rsidRDefault="00C7670E" w:rsidP="00C7670E">
            <w:pPr>
              <w:pStyle w:val="ListParagraph"/>
              <w:tabs>
                <w:tab w:val="center" w:pos="4513"/>
                <w:tab w:val="right" w:pos="9026"/>
              </w:tabs>
              <w:ind w:left="360"/>
              <w:rPr>
                <w:rFonts w:asciiTheme="minorHAnsi" w:hAnsiTheme="minorHAnsi" w:cstheme="minorHAnsi"/>
                <w:sz w:val="20"/>
                <w:szCs w:val="20"/>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VEDA Advantage</w:t>
            </w:r>
          </w:p>
          <w:p w:rsidR="00C7670E" w:rsidRPr="003A1BD0" w:rsidRDefault="00C7670E" w:rsidP="00C7670E">
            <w:pPr>
              <w:tabs>
                <w:tab w:val="center" w:pos="4513"/>
                <w:tab w:val="right" w:pos="9026"/>
              </w:tabs>
              <w:rPr>
                <w:rFonts w:asciiTheme="minorHAnsi" w:hAnsiTheme="minorHAnsi" w:cstheme="minorHAnsi"/>
                <w:sz w:val="20"/>
                <w:szCs w:val="20"/>
              </w:rPr>
            </w:pPr>
          </w:p>
          <w:p w:rsidR="00C7670E" w:rsidRPr="003A1BD0" w:rsidRDefault="00C7670E" w:rsidP="00C7670E">
            <w:pPr>
              <w:tabs>
                <w:tab w:val="center" w:pos="4513"/>
                <w:tab w:val="right" w:pos="9026"/>
              </w:tabs>
              <w:rPr>
                <w:rFonts w:asciiTheme="minorHAnsi" w:hAnsiTheme="minorHAnsi" w:cstheme="minorHAnsi"/>
                <w:sz w:val="20"/>
                <w:szCs w:val="20"/>
              </w:rPr>
            </w:pPr>
            <w:r w:rsidRPr="003A1BD0">
              <w:rPr>
                <w:rFonts w:asciiTheme="minorHAnsi" w:hAnsiTheme="minorHAnsi" w:cstheme="minorHAnsi"/>
                <w:sz w:val="20"/>
                <w:szCs w:val="20"/>
              </w:rPr>
              <w:t xml:space="preserve"> </w:t>
            </w:r>
          </w:p>
          <w:p w:rsidR="00C7670E" w:rsidRPr="003A1BD0" w:rsidRDefault="00C7670E" w:rsidP="00C7670E">
            <w:pPr>
              <w:tabs>
                <w:tab w:val="center" w:pos="4513"/>
                <w:tab w:val="right" w:pos="9026"/>
              </w:tabs>
              <w:rPr>
                <w:rFonts w:asciiTheme="minorHAnsi" w:hAnsiTheme="minorHAnsi" w:cstheme="minorHAnsi"/>
                <w:sz w:val="20"/>
                <w:szCs w:val="20"/>
              </w:rPr>
            </w:pPr>
          </w:p>
          <w:p w:rsidR="00C7670E" w:rsidRPr="003A1BD0" w:rsidRDefault="00C7670E" w:rsidP="00C7670E">
            <w:pPr>
              <w:tabs>
                <w:tab w:val="center" w:pos="4513"/>
                <w:tab w:val="right" w:pos="9026"/>
              </w:tabs>
              <w:rPr>
                <w:rFonts w:asciiTheme="minorHAnsi" w:hAnsiTheme="minorHAnsi" w:cstheme="minorHAnsi"/>
                <w:b/>
                <w:sz w:val="20"/>
                <w:szCs w:val="20"/>
                <w:u w:val="single"/>
              </w:rPr>
            </w:pPr>
          </w:p>
          <w:p w:rsidR="00C7670E" w:rsidRPr="003A1BD0" w:rsidRDefault="00C7670E" w:rsidP="00C7670E">
            <w:pPr>
              <w:tabs>
                <w:tab w:val="center" w:pos="4513"/>
                <w:tab w:val="right" w:pos="9026"/>
              </w:tabs>
              <w:rPr>
                <w:rFonts w:asciiTheme="minorHAnsi" w:hAnsiTheme="minorHAnsi" w:cstheme="minorHAnsi"/>
                <w:b/>
                <w:sz w:val="20"/>
                <w:szCs w:val="20"/>
                <w:u w:val="single"/>
              </w:rPr>
            </w:pPr>
            <w:r w:rsidRPr="003A1BD0">
              <w:rPr>
                <w:rFonts w:asciiTheme="minorHAnsi" w:hAnsiTheme="minorHAnsi" w:cstheme="minorHAnsi"/>
                <w:b/>
                <w:sz w:val="20"/>
                <w:szCs w:val="20"/>
                <w:u w:val="single"/>
              </w:rPr>
              <w:t>Debt Collection Agency</w:t>
            </w: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 xml:space="preserve">Baycorp (NZ) </w:t>
            </w:r>
          </w:p>
          <w:p w:rsidR="00C7670E" w:rsidRPr="003A1BD0" w:rsidRDefault="00C7670E" w:rsidP="00C7670E">
            <w:pPr>
              <w:tabs>
                <w:tab w:val="center" w:pos="4513"/>
                <w:tab w:val="right" w:pos="9026"/>
              </w:tabs>
              <w:rPr>
                <w:rFonts w:asciiTheme="minorHAnsi" w:hAnsiTheme="minorHAnsi" w:cstheme="minorHAnsi"/>
                <w:sz w:val="8"/>
                <w:szCs w:val="8"/>
              </w:rPr>
            </w:pPr>
          </w:p>
          <w:p w:rsidR="00C7670E" w:rsidRPr="003A1BD0" w:rsidRDefault="00C7670E" w:rsidP="00C7670E">
            <w:pPr>
              <w:tabs>
                <w:tab w:val="center" w:pos="4513"/>
                <w:tab w:val="right" w:pos="9026"/>
              </w:tabs>
              <w:rPr>
                <w:rFonts w:asciiTheme="minorHAnsi" w:hAnsiTheme="minorHAnsi" w:cstheme="minorHAnsi"/>
                <w:sz w:val="20"/>
                <w:szCs w:val="20"/>
              </w:rPr>
            </w:pPr>
          </w:p>
        </w:tc>
        <w:tc>
          <w:tcPr>
            <w:tcW w:w="2245" w:type="dxa"/>
          </w:tcPr>
          <w:p w:rsidR="00C7670E" w:rsidRPr="003A1BD0" w:rsidRDefault="00C7670E" w:rsidP="00C7670E">
            <w:pPr>
              <w:pStyle w:val="ListParagraph"/>
              <w:tabs>
                <w:tab w:val="center" w:pos="4513"/>
                <w:tab w:val="right" w:pos="9026"/>
              </w:tabs>
              <w:ind w:left="360"/>
              <w:rPr>
                <w:rFonts w:asciiTheme="minorHAnsi" w:hAnsiTheme="minorHAnsi" w:cstheme="minorHAnsi"/>
                <w:sz w:val="20"/>
                <w:szCs w:val="20"/>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 xml:space="preserve">Protecta Insurance </w:t>
            </w:r>
          </w:p>
          <w:p w:rsidR="00C7670E" w:rsidRPr="003A1BD0" w:rsidRDefault="00C7670E" w:rsidP="00C7670E">
            <w:pPr>
              <w:pStyle w:val="ListParagraph"/>
              <w:tabs>
                <w:tab w:val="center" w:pos="4513"/>
                <w:tab w:val="right" w:pos="9026"/>
              </w:tabs>
              <w:ind w:left="360"/>
              <w:rPr>
                <w:rFonts w:asciiTheme="minorHAnsi" w:hAnsiTheme="minorHAnsi" w:cstheme="minorHAnsi"/>
                <w:sz w:val="8"/>
                <w:szCs w:val="8"/>
              </w:rPr>
            </w:pPr>
          </w:p>
          <w:p w:rsidR="00C7670E" w:rsidRPr="003A1BD0" w:rsidRDefault="00C7670E" w:rsidP="00C7670E">
            <w:pPr>
              <w:tabs>
                <w:tab w:val="center" w:pos="4513"/>
                <w:tab w:val="right" w:pos="9026"/>
              </w:tabs>
              <w:rPr>
                <w:rFonts w:asciiTheme="minorHAnsi" w:hAnsiTheme="minorHAnsi" w:cstheme="minorHAnsi"/>
                <w:b/>
                <w:sz w:val="20"/>
                <w:szCs w:val="20"/>
                <w:u w:val="single"/>
              </w:rPr>
            </w:pPr>
          </w:p>
          <w:p w:rsidR="00C7670E" w:rsidRPr="003A1BD0" w:rsidRDefault="00C7670E" w:rsidP="00C7670E">
            <w:pPr>
              <w:tabs>
                <w:tab w:val="center" w:pos="4513"/>
                <w:tab w:val="right" w:pos="9026"/>
              </w:tabs>
              <w:rPr>
                <w:rFonts w:asciiTheme="minorHAnsi" w:hAnsiTheme="minorHAnsi" w:cstheme="minorHAnsi"/>
                <w:b/>
                <w:sz w:val="20"/>
                <w:szCs w:val="20"/>
                <w:u w:val="single"/>
              </w:rPr>
            </w:pPr>
          </w:p>
          <w:p w:rsidR="00C7670E" w:rsidRPr="003A1BD0" w:rsidRDefault="00C7670E" w:rsidP="00C7670E">
            <w:pPr>
              <w:tabs>
                <w:tab w:val="center" w:pos="4513"/>
                <w:tab w:val="right" w:pos="9026"/>
              </w:tabs>
              <w:rPr>
                <w:rFonts w:asciiTheme="minorHAnsi" w:hAnsiTheme="minorHAnsi" w:cstheme="minorHAnsi"/>
                <w:b/>
                <w:sz w:val="20"/>
                <w:szCs w:val="20"/>
                <w:u w:val="single"/>
              </w:rPr>
            </w:pPr>
          </w:p>
          <w:p w:rsidR="00C7670E" w:rsidRPr="003A1BD0" w:rsidRDefault="00C7670E" w:rsidP="00C7670E">
            <w:pPr>
              <w:tabs>
                <w:tab w:val="center" w:pos="4513"/>
                <w:tab w:val="right" w:pos="9026"/>
              </w:tabs>
              <w:rPr>
                <w:rFonts w:asciiTheme="minorHAnsi" w:hAnsiTheme="minorHAnsi" w:cstheme="minorHAnsi"/>
                <w:b/>
                <w:sz w:val="20"/>
                <w:szCs w:val="20"/>
                <w:u w:val="single"/>
              </w:rPr>
            </w:pPr>
            <w:r w:rsidRPr="003A1BD0">
              <w:rPr>
                <w:rFonts w:asciiTheme="minorHAnsi" w:hAnsiTheme="minorHAnsi" w:cstheme="minorHAnsi"/>
                <w:b/>
                <w:sz w:val="20"/>
                <w:szCs w:val="20"/>
                <w:u w:val="single"/>
              </w:rPr>
              <w:t xml:space="preserve"> Associate Members</w:t>
            </w:r>
          </w:p>
          <w:p w:rsidR="00C7670E" w:rsidRPr="003A1BD0" w:rsidRDefault="00C7670E" w:rsidP="00C7670E">
            <w:pPr>
              <w:tabs>
                <w:tab w:val="center" w:pos="4513"/>
                <w:tab w:val="right" w:pos="9026"/>
              </w:tabs>
              <w:rPr>
                <w:rFonts w:asciiTheme="minorHAnsi" w:hAnsiTheme="minorHAnsi" w:cstheme="minorHAnsi"/>
                <w:b/>
                <w:sz w:val="8"/>
                <w:szCs w:val="8"/>
                <w:u w:val="single"/>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Southsure Assurance</w:t>
            </w:r>
          </w:p>
          <w:p w:rsidR="00C7670E" w:rsidRPr="003A1BD0" w:rsidRDefault="00C7670E" w:rsidP="00C7670E">
            <w:pPr>
              <w:pStyle w:val="ListParagraph"/>
              <w:tabs>
                <w:tab w:val="center" w:pos="4513"/>
                <w:tab w:val="right" w:pos="9026"/>
              </w:tabs>
              <w:ind w:left="360"/>
              <w:rPr>
                <w:rFonts w:asciiTheme="minorHAnsi" w:hAnsiTheme="minorHAnsi" w:cstheme="minorHAnsi"/>
                <w:sz w:val="20"/>
                <w:szCs w:val="20"/>
              </w:rPr>
            </w:pPr>
          </w:p>
        </w:tc>
        <w:tc>
          <w:tcPr>
            <w:tcW w:w="2653" w:type="dxa"/>
          </w:tcPr>
          <w:p w:rsidR="00C7670E" w:rsidRPr="003A1BD0" w:rsidRDefault="00C7670E" w:rsidP="00C7670E">
            <w:pPr>
              <w:pStyle w:val="ListParagraph"/>
              <w:tabs>
                <w:tab w:val="center" w:pos="4513"/>
                <w:tab w:val="right" w:pos="9026"/>
              </w:tabs>
              <w:ind w:left="360"/>
              <w:rPr>
                <w:rFonts w:asciiTheme="minorHAnsi" w:hAnsiTheme="minorHAnsi" w:cstheme="minorHAnsi"/>
                <w:sz w:val="20"/>
                <w:szCs w:val="20"/>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Buddle Findlay</w:t>
            </w:r>
          </w:p>
          <w:p w:rsidR="00C7670E" w:rsidRPr="003A1BD0" w:rsidRDefault="00C7670E" w:rsidP="00C7670E">
            <w:pPr>
              <w:pStyle w:val="ListParagraph"/>
              <w:tabs>
                <w:tab w:val="center" w:pos="4513"/>
                <w:tab w:val="right" w:pos="9026"/>
              </w:tabs>
              <w:ind w:left="360"/>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Deloitte</w:t>
            </w:r>
          </w:p>
          <w:p w:rsidR="00C7670E" w:rsidRPr="003A1BD0" w:rsidRDefault="00C7670E" w:rsidP="00C7670E">
            <w:pPr>
              <w:pStyle w:val="ListParagraph"/>
              <w:tabs>
                <w:tab w:val="center" w:pos="4513"/>
                <w:tab w:val="right" w:pos="9026"/>
              </w:tabs>
              <w:ind w:left="360"/>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Ernst &amp; Young</w:t>
            </w:r>
          </w:p>
          <w:p w:rsidR="00C7670E" w:rsidRPr="003A1BD0" w:rsidRDefault="00C7670E" w:rsidP="00C7670E">
            <w:pPr>
              <w:pStyle w:val="ListParagraph"/>
              <w:tabs>
                <w:tab w:val="center" w:pos="4513"/>
                <w:tab w:val="right" w:pos="9026"/>
              </w:tabs>
              <w:ind w:left="360"/>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PriceWaterhouseCoopers</w:t>
            </w:r>
          </w:p>
          <w:p w:rsidR="00C7670E" w:rsidRPr="003A1BD0" w:rsidRDefault="00C7670E" w:rsidP="00C7670E">
            <w:pPr>
              <w:pStyle w:val="ListParagraph"/>
              <w:tabs>
                <w:tab w:val="center" w:pos="4513"/>
                <w:tab w:val="right" w:pos="9026"/>
              </w:tabs>
              <w:ind w:left="360"/>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Russell McVeagh</w:t>
            </w:r>
          </w:p>
          <w:p w:rsidR="00C7670E" w:rsidRPr="003A1BD0" w:rsidRDefault="00C7670E" w:rsidP="00C7670E">
            <w:pPr>
              <w:pStyle w:val="ListParagraph"/>
              <w:tabs>
                <w:tab w:val="center" w:pos="4513"/>
                <w:tab w:val="right" w:pos="9026"/>
              </w:tabs>
              <w:rPr>
                <w:rFonts w:asciiTheme="minorHAnsi" w:hAnsiTheme="minorHAnsi" w:cstheme="minorHAnsi"/>
                <w:sz w:val="12"/>
                <w:szCs w:val="12"/>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SimpsonWestern</w:t>
            </w:r>
          </w:p>
          <w:p w:rsidR="00C7670E" w:rsidRPr="003A1BD0" w:rsidRDefault="00C7670E" w:rsidP="00C7670E">
            <w:pPr>
              <w:pStyle w:val="ListParagraph"/>
              <w:tabs>
                <w:tab w:val="center" w:pos="4513"/>
                <w:tab w:val="right" w:pos="9026"/>
              </w:tabs>
              <w:rPr>
                <w:rFonts w:asciiTheme="minorHAnsi" w:hAnsiTheme="minorHAnsi" w:cstheme="minorHAnsi"/>
                <w:sz w:val="8"/>
                <w:szCs w:val="8"/>
              </w:rPr>
            </w:pPr>
          </w:p>
          <w:p w:rsidR="00C7670E" w:rsidRPr="003A1BD0" w:rsidRDefault="00C7670E" w:rsidP="00C7670E">
            <w:pPr>
              <w:pStyle w:val="ListParagraph"/>
              <w:numPr>
                <w:ilvl w:val="0"/>
                <w:numId w:val="1"/>
              </w:numPr>
              <w:spacing w:after="0" w:line="240" w:lineRule="auto"/>
              <w:rPr>
                <w:rFonts w:asciiTheme="minorHAnsi" w:hAnsiTheme="minorHAnsi" w:cstheme="minorHAnsi"/>
                <w:sz w:val="20"/>
                <w:szCs w:val="20"/>
              </w:rPr>
            </w:pPr>
            <w:r w:rsidRPr="003A1BD0">
              <w:rPr>
                <w:rFonts w:asciiTheme="minorHAnsi" w:hAnsiTheme="minorHAnsi" w:cstheme="minorHAnsi"/>
                <w:sz w:val="20"/>
                <w:szCs w:val="20"/>
              </w:rPr>
              <w:t>Visa Worldwide(NZ) Ltd</w:t>
            </w:r>
          </w:p>
          <w:p w:rsidR="00C7670E" w:rsidRPr="003A1BD0" w:rsidRDefault="00C7670E" w:rsidP="00C7670E">
            <w:pPr>
              <w:pStyle w:val="ListParagraph"/>
              <w:tabs>
                <w:tab w:val="center" w:pos="4513"/>
                <w:tab w:val="right" w:pos="9026"/>
              </w:tabs>
              <w:rPr>
                <w:rFonts w:asciiTheme="minorHAnsi" w:hAnsiTheme="minorHAnsi" w:cstheme="minorHAnsi"/>
                <w:sz w:val="20"/>
                <w:szCs w:val="20"/>
              </w:rPr>
            </w:pPr>
          </w:p>
          <w:p w:rsidR="00C7670E" w:rsidRPr="003A1BD0" w:rsidRDefault="00C7670E" w:rsidP="00C7670E">
            <w:pPr>
              <w:tabs>
                <w:tab w:val="center" w:pos="4513"/>
                <w:tab w:val="right" w:pos="9026"/>
              </w:tabs>
              <w:rPr>
                <w:rFonts w:asciiTheme="minorHAnsi" w:hAnsiTheme="minorHAnsi" w:cstheme="minorHAnsi"/>
                <w:sz w:val="20"/>
                <w:szCs w:val="20"/>
              </w:rPr>
            </w:pPr>
          </w:p>
          <w:p w:rsidR="00C7670E" w:rsidRPr="003A1BD0" w:rsidRDefault="00C7670E" w:rsidP="00C7670E">
            <w:pPr>
              <w:pStyle w:val="ListParagraph"/>
              <w:tabs>
                <w:tab w:val="center" w:pos="4513"/>
                <w:tab w:val="right" w:pos="9026"/>
              </w:tabs>
              <w:ind w:left="360"/>
              <w:rPr>
                <w:rFonts w:asciiTheme="minorHAnsi" w:hAnsiTheme="minorHAnsi" w:cstheme="minorHAnsi"/>
                <w:sz w:val="20"/>
                <w:szCs w:val="20"/>
              </w:rPr>
            </w:pPr>
          </w:p>
        </w:tc>
      </w:tr>
    </w:tbl>
    <w:p w:rsidR="00FB6714" w:rsidRDefault="00FB6714" w:rsidP="00FB6714">
      <w:pPr>
        <w:spacing w:after="0"/>
        <w:rPr>
          <w:rFonts w:ascii="Garamond" w:hAnsi="Garamond"/>
          <w:b/>
          <w:sz w:val="20"/>
          <w:szCs w:val="20"/>
          <w:u w:val="single"/>
        </w:rPr>
      </w:pPr>
    </w:p>
    <w:p w:rsidR="008D13FB" w:rsidRPr="00EF64BB" w:rsidRDefault="008D13FB" w:rsidP="00B64F95">
      <w:pPr>
        <w:jc w:val="center"/>
        <w:rPr>
          <w:rFonts w:asciiTheme="minorHAnsi" w:hAnsiTheme="minorHAnsi" w:cstheme="minorHAnsi"/>
          <w:sz w:val="18"/>
          <w:szCs w:val="18"/>
        </w:rPr>
      </w:pPr>
    </w:p>
    <w:sectPr w:rsidR="008D13FB" w:rsidRPr="00EF64BB" w:rsidSect="005A56B3">
      <w:pgSz w:w="16838" w:h="11906" w:orient="landscape"/>
      <w:pgMar w:top="851"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FB" w:rsidRDefault="008D13FB" w:rsidP="00882B4C">
      <w:pPr>
        <w:spacing w:after="0" w:line="240" w:lineRule="auto"/>
      </w:pPr>
      <w:r>
        <w:separator/>
      </w:r>
    </w:p>
  </w:endnote>
  <w:endnote w:type="continuationSeparator" w:id="0">
    <w:p w:rsidR="008D13FB" w:rsidRDefault="008D13FB" w:rsidP="00882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FB" w:rsidRDefault="00F3735B">
    <w:pPr>
      <w:pStyle w:val="Footer"/>
      <w:jc w:val="right"/>
    </w:pPr>
    <w:fldSimple w:instr=" PAGE   \* MERGEFORMAT ">
      <w:r w:rsidR="003A1BD0">
        <w:rPr>
          <w:noProof/>
        </w:rPr>
        <w:t>1</w:t>
      </w:r>
    </w:fldSimple>
  </w:p>
  <w:p w:rsidR="008D13FB" w:rsidRDefault="008D1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FB" w:rsidRDefault="008D13FB" w:rsidP="00882B4C">
      <w:pPr>
        <w:spacing w:after="0" w:line="240" w:lineRule="auto"/>
      </w:pPr>
      <w:r>
        <w:separator/>
      </w:r>
    </w:p>
  </w:footnote>
  <w:footnote w:type="continuationSeparator" w:id="0">
    <w:p w:rsidR="008D13FB" w:rsidRDefault="008D13FB" w:rsidP="00882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F72"/>
    <w:multiLevelType w:val="hybridMultilevel"/>
    <w:tmpl w:val="36327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6D7691"/>
    <w:multiLevelType w:val="hybridMultilevel"/>
    <w:tmpl w:val="E236A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C78143D"/>
    <w:multiLevelType w:val="hybridMultilevel"/>
    <w:tmpl w:val="D332C004"/>
    <w:lvl w:ilvl="0" w:tplc="3296299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9A64A0"/>
    <w:multiLevelType w:val="hybridMultilevel"/>
    <w:tmpl w:val="6D8AA01E"/>
    <w:lvl w:ilvl="0" w:tplc="E9D403C2">
      <w:start w:val="1"/>
      <w:numFmt w:val="lowerRoman"/>
      <w:lvlText w:val="(%1)"/>
      <w:lvlJc w:val="left"/>
      <w:pPr>
        <w:ind w:left="2880" w:hanging="72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
    <w:nsid w:val="12E04256"/>
    <w:multiLevelType w:val="hybridMultilevel"/>
    <w:tmpl w:val="F736778E"/>
    <w:lvl w:ilvl="0" w:tplc="095C7C6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57729D9"/>
    <w:multiLevelType w:val="hybridMultilevel"/>
    <w:tmpl w:val="C5C47862"/>
    <w:lvl w:ilvl="0" w:tplc="AF26B74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16533619"/>
    <w:multiLevelType w:val="hybridMultilevel"/>
    <w:tmpl w:val="14126696"/>
    <w:lvl w:ilvl="0" w:tplc="B9CA00E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16D352F1"/>
    <w:multiLevelType w:val="hybridMultilevel"/>
    <w:tmpl w:val="218E9D60"/>
    <w:lvl w:ilvl="0" w:tplc="0922CC5A">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2FF620DF"/>
    <w:multiLevelType w:val="hybridMultilevel"/>
    <w:tmpl w:val="A0E87AFE"/>
    <w:lvl w:ilvl="0" w:tplc="429A733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3F4501D"/>
    <w:multiLevelType w:val="hybridMultilevel"/>
    <w:tmpl w:val="99F82BF4"/>
    <w:lvl w:ilvl="0" w:tplc="1D8A7F14">
      <w:start w:val="1"/>
      <w:numFmt w:val="decimal"/>
      <w:lvlText w:val="%1."/>
      <w:lvlJc w:val="left"/>
      <w:pPr>
        <w:ind w:left="1074" w:hanging="360"/>
      </w:pPr>
      <w:rPr>
        <w:rFonts w:hint="default"/>
      </w:rPr>
    </w:lvl>
    <w:lvl w:ilvl="1" w:tplc="14090019">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0">
    <w:nsid w:val="3A05112D"/>
    <w:multiLevelType w:val="hybridMultilevel"/>
    <w:tmpl w:val="6B089C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AD00381"/>
    <w:multiLevelType w:val="hybridMultilevel"/>
    <w:tmpl w:val="AEC2BBE6"/>
    <w:lvl w:ilvl="0" w:tplc="180CDAC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3F665A67"/>
    <w:multiLevelType w:val="hybridMultilevel"/>
    <w:tmpl w:val="74F66BD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6F140AF"/>
    <w:multiLevelType w:val="hybridMultilevel"/>
    <w:tmpl w:val="2CBC70B2"/>
    <w:lvl w:ilvl="0" w:tplc="145666B8">
      <w:start w:val="1"/>
      <w:numFmt w:val="decimal"/>
      <w:lvlText w:val="%1."/>
      <w:lvlJc w:val="left"/>
      <w:pPr>
        <w:ind w:left="720" w:hanging="360"/>
      </w:pPr>
      <w:rPr>
        <w:rFonts w:ascii="Calibri" w:hAnsi="Calibri" w:cs="Calibr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4FEB2064"/>
    <w:multiLevelType w:val="hybridMultilevel"/>
    <w:tmpl w:val="02827352"/>
    <w:lvl w:ilvl="0" w:tplc="1409000F">
      <w:start w:val="1"/>
      <w:numFmt w:val="decimal"/>
      <w:lvlText w:val="%1."/>
      <w:lvlJc w:val="left"/>
      <w:pPr>
        <w:ind w:left="720" w:hanging="360"/>
      </w:pPr>
      <w:rPr>
        <w:rFonts w:hint="default"/>
      </w:rPr>
    </w:lvl>
    <w:lvl w:ilvl="1" w:tplc="930CA93E">
      <w:start w:val="1"/>
      <w:numFmt w:val="lowerLetter"/>
      <w:lvlText w:val="%2."/>
      <w:lvlJc w:val="left"/>
      <w:pPr>
        <w:ind w:left="1440"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1916194"/>
    <w:multiLevelType w:val="hybridMultilevel"/>
    <w:tmpl w:val="63E0FF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8D2412A"/>
    <w:multiLevelType w:val="hybridMultilevel"/>
    <w:tmpl w:val="BE369CAE"/>
    <w:lvl w:ilvl="0" w:tplc="7EE215C0">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6146101E"/>
    <w:multiLevelType w:val="hybridMultilevel"/>
    <w:tmpl w:val="8C00502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F821423"/>
    <w:multiLevelType w:val="hybridMultilevel"/>
    <w:tmpl w:val="143A3A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0B81237"/>
    <w:multiLevelType w:val="hybridMultilevel"/>
    <w:tmpl w:val="4E34AA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6FE3EA4"/>
    <w:multiLevelType w:val="hybridMultilevel"/>
    <w:tmpl w:val="A7981D6E"/>
    <w:lvl w:ilvl="0" w:tplc="B738965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78884BFD"/>
    <w:multiLevelType w:val="hybridMultilevel"/>
    <w:tmpl w:val="CAD03D1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7"/>
  </w:num>
  <w:num w:numId="5">
    <w:abstractNumId w:val="6"/>
  </w:num>
  <w:num w:numId="6">
    <w:abstractNumId w:val="20"/>
  </w:num>
  <w:num w:numId="7">
    <w:abstractNumId w:val="12"/>
  </w:num>
  <w:num w:numId="8">
    <w:abstractNumId w:val="0"/>
  </w:num>
  <w:num w:numId="9">
    <w:abstractNumId w:val="2"/>
  </w:num>
  <w:num w:numId="10">
    <w:abstractNumId w:val="15"/>
  </w:num>
  <w:num w:numId="11">
    <w:abstractNumId w:val="8"/>
  </w:num>
  <w:num w:numId="12">
    <w:abstractNumId w:val="4"/>
  </w:num>
  <w:num w:numId="13">
    <w:abstractNumId w:val="11"/>
  </w:num>
  <w:num w:numId="14">
    <w:abstractNumId w:val="5"/>
  </w:num>
  <w:num w:numId="15">
    <w:abstractNumId w:val="16"/>
  </w:num>
  <w:num w:numId="16">
    <w:abstractNumId w:val="3"/>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02E"/>
    <w:rsid w:val="00005E1D"/>
    <w:rsid w:val="0005052B"/>
    <w:rsid w:val="000505B8"/>
    <w:rsid w:val="0005706D"/>
    <w:rsid w:val="00082150"/>
    <w:rsid w:val="0009241E"/>
    <w:rsid w:val="000B3841"/>
    <w:rsid w:val="000D69F8"/>
    <w:rsid w:val="00115420"/>
    <w:rsid w:val="00120517"/>
    <w:rsid w:val="0014495A"/>
    <w:rsid w:val="001A42E8"/>
    <w:rsid w:val="001D18D8"/>
    <w:rsid w:val="001E22AA"/>
    <w:rsid w:val="001F0B00"/>
    <w:rsid w:val="00204E2F"/>
    <w:rsid w:val="002A36B4"/>
    <w:rsid w:val="002F5BEE"/>
    <w:rsid w:val="00327B7D"/>
    <w:rsid w:val="00352F77"/>
    <w:rsid w:val="00390C5E"/>
    <w:rsid w:val="00396248"/>
    <w:rsid w:val="003A1BD0"/>
    <w:rsid w:val="003A4AAE"/>
    <w:rsid w:val="003C5146"/>
    <w:rsid w:val="003C78E5"/>
    <w:rsid w:val="003D6563"/>
    <w:rsid w:val="003E6F0C"/>
    <w:rsid w:val="004339A2"/>
    <w:rsid w:val="00454787"/>
    <w:rsid w:val="00484E45"/>
    <w:rsid w:val="004C35D2"/>
    <w:rsid w:val="004C3C62"/>
    <w:rsid w:val="004D3108"/>
    <w:rsid w:val="004E5ABF"/>
    <w:rsid w:val="00514D88"/>
    <w:rsid w:val="00593EB9"/>
    <w:rsid w:val="005A56B3"/>
    <w:rsid w:val="005C156C"/>
    <w:rsid w:val="005D3022"/>
    <w:rsid w:val="005E5B45"/>
    <w:rsid w:val="00621A2D"/>
    <w:rsid w:val="006546A7"/>
    <w:rsid w:val="006B25D3"/>
    <w:rsid w:val="006E2BF8"/>
    <w:rsid w:val="00735960"/>
    <w:rsid w:val="00737DC1"/>
    <w:rsid w:val="00777887"/>
    <w:rsid w:val="00792481"/>
    <w:rsid w:val="007F0916"/>
    <w:rsid w:val="00823231"/>
    <w:rsid w:val="00847D85"/>
    <w:rsid w:val="00881A21"/>
    <w:rsid w:val="00882B4C"/>
    <w:rsid w:val="008D13FB"/>
    <w:rsid w:val="0093229A"/>
    <w:rsid w:val="009626AD"/>
    <w:rsid w:val="00966E48"/>
    <w:rsid w:val="00985ABE"/>
    <w:rsid w:val="009A26E4"/>
    <w:rsid w:val="009E743B"/>
    <w:rsid w:val="009F5E19"/>
    <w:rsid w:val="00A24D05"/>
    <w:rsid w:val="00A32036"/>
    <w:rsid w:val="00A7048E"/>
    <w:rsid w:val="00AB04EB"/>
    <w:rsid w:val="00AB4121"/>
    <w:rsid w:val="00AD33F0"/>
    <w:rsid w:val="00AE497F"/>
    <w:rsid w:val="00B11EC3"/>
    <w:rsid w:val="00B4367F"/>
    <w:rsid w:val="00B55683"/>
    <w:rsid w:val="00B64F95"/>
    <w:rsid w:val="00B72558"/>
    <w:rsid w:val="00BF313B"/>
    <w:rsid w:val="00C30197"/>
    <w:rsid w:val="00C52FF1"/>
    <w:rsid w:val="00C7670E"/>
    <w:rsid w:val="00C95624"/>
    <w:rsid w:val="00CD3146"/>
    <w:rsid w:val="00D2100B"/>
    <w:rsid w:val="00D3502E"/>
    <w:rsid w:val="00D63411"/>
    <w:rsid w:val="00D741E5"/>
    <w:rsid w:val="00D83087"/>
    <w:rsid w:val="00DA4740"/>
    <w:rsid w:val="00DC3E69"/>
    <w:rsid w:val="00DE2FC8"/>
    <w:rsid w:val="00DE464C"/>
    <w:rsid w:val="00E05109"/>
    <w:rsid w:val="00E305DC"/>
    <w:rsid w:val="00E37238"/>
    <w:rsid w:val="00E82872"/>
    <w:rsid w:val="00E82B8E"/>
    <w:rsid w:val="00EA1FCB"/>
    <w:rsid w:val="00EB5036"/>
    <w:rsid w:val="00EF64BB"/>
    <w:rsid w:val="00F27A6A"/>
    <w:rsid w:val="00F3735B"/>
    <w:rsid w:val="00F9122F"/>
    <w:rsid w:val="00FA3FDD"/>
    <w:rsid w:val="00FB6714"/>
    <w:rsid w:val="00FD6C1B"/>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B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B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2B4C"/>
    <w:rPr>
      <w:rFonts w:cs="Times New Roman"/>
    </w:rPr>
  </w:style>
  <w:style w:type="paragraph" w:styleId="Footer">
    <w:name w:val="footer"/>
    <w:basedOn w:val="Normal"/>
    <w:link w:val="FooterChar"/>
    <w:rsid w:val="00882B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2B4C"/>
    <w:rPr>
      <w:rFonts w:cs="Times New Roman"/>
    </w:rPr>
  </w:style>
  <w:style w:type="paragraph" w:styleId="ListParagraph">
    <w:name w:val="List Paragraph"/>
    <w:basedOn w:val="Normal"/>
    <w:uiPriority w:val="34"/>
    <w:qFormat/>
    <w:rsid w:val="00735960"/>
    <w:pPr>
      <w:ind w:left="720"/>
      <w:contextualSpacing/>
    </w:pPr>
    <w:rPr>
      <w:rFonts w:eastAsia="Times New Roman"/>
    </w:rPr>
  </w:style>
  <w:style w:type="paragraph" w:customStyle="1" w:styleId="Default">
    <w:name w:val="Default"/>
    <w:rsid w:val="00735960"/>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basedOn w:val="DefaultParagraphFont"/>
    <w:uiPriority w:val="99"/>
    <w:rsid w:val="006B25D3"/>
    <w:rPr>
      <w:color w:val="0000FF"/>
      <w:u w:val="single"/>
    </w:rPr>
  </w:style>
  <w:style w:type="table" w:styleId="TableGrid">
    <w:name w:val="Table Grid"/>
    <w:basedOn w:val="TableNormal"/>
    <w:uiPriority w:val="59"/>
    <w:locked/>
    <w:rsid w:val="00B64F9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morran@fsf.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8011</Characters>
  <Application>Microsoft Office Word</Application>
  <DocSecurity>0</DocSecurity>
  <Lines>66</Lines>
  <Paragraphs>19</Paragraphs>
  <ScaleCrop>false</ScaleCrop>
  <Company>Hewlett-Packard Company</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 APRIL CONSULTATION QUESTIONS RELATING TO DRAFT GUIDANCE NOTE ON EFFECTIVE DISCLOSURE</dc:title>
  <dc:creator>Rob McInnes</dc:creator>
  <cp:lastModifiedBy>Sue Gupta</cp:lastModifiedBy>
  <cp:revision>2</cp:revision>
  <cp:lastPrinted>2012-05-24T02:46:00Z</cp:lastPrinted>
  <dcterms:created xsi:type="dcterms:W3CDTF">2013-08-30T00:01:00Z</dcterms:created>
  <dcterms:modified xsi:type="dcterms:W3CDTF">2013-08-30T00:01:00Z</dcterms:modified>
</cp:coreProperties>
</file>